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507"/>
        <w:gridCol w:w="8254"/>
      </w:tblGrid>
      <w:tr w:rsidR="000925C5" w:rsidRPr="00454E72" w:rsidTr="002E027A">
        <w:trPr>
          <w:tblHeader/>
        </w:trPr>
        <w:tc>
          <w:tcPr>
            <w:tcW w:w="2507" w:type="dxa"/>
            <w:shd w:val="clear" w:color="auto" w:fill="97999C"/>
            <w:vAlign w:val="center"/>
          </w:tcPr>
          <w:p w:rsidR="000925C5" w:rsidRPr="00F02437" w:rsidRDefault="002E027A" w:rsidP="002A73F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</w:t>
            </w:r>
            <w:r w:rsidR="000925C5" w:rsidRPr="00F02437">
              <w:rPr>
                <w:rFonts w:cs="Arial"/>
                <w:b/>
                <w:sz w:val="22"/>
                <w:szCs w:val="22"/>
              </w:rPr>
              <w:t>eeting Title:</w:t>
            </w:r>
          </w:p>
        </w:tc>
        <w:tc>
          <w:tcPr>
            <w:tcW w:w="8254" w:type="dxa"/>
          </w:tcPr>
          <w:p w:rsidR="00485ACE" w:rsidRPr="001C1661" w:rsidRDefault="009F7DDB" w:rsidP="009F7DDB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1C1661">
              <w:rPr>
                <w:rFonts w:cs="Arial"/>
                <w:b/>
                <w:bCs/>
                <w:sz w:val="22"/>
                <w:szCs w:val="22"/>
              </w:rPr>
              <w:t xml:space="preserve">Governing Board </w:t>
            </w:r>
            <w:r w:rsidR="00CD0CA0" w:rsidRPr="001C1661">
              <w:rPr>
                <w:rFonts w:cs="Arial"/>
                <w:b/>
                <w:bCs/>
                <w:sz w:val="22"/>
                <w:szCs w:val="22"/>
              </w:rPr>
              <w:t xml:space="preserve">Meeting </w:t>
            </w:r>
            <w:r w:rsidR="00EF1CF2" w:rsidRPr="001C1661">
              <w:rPr>
                <w:rFonts w:cs="Arial"/>
                <w:b/>
                <w:bCs/>
                <w:sz w:val="22"/>
                <w:szCs w:val="22"/>
              </w:rPr>
              <w:t>Spring</w:t>
            </w:r>
            <w:r w:rsidR="001C1661">
              <w:rPr>
                <w:rFonts w:cs="Arial"/>
                <w:b/>
                <w:bCs/>
                <w:sz w:val="22"/>
                <w:szCs w:val="22"/>
              </w:rPr>
              <w:t xml:space="preserve"> 2021</w:t>
            </w:r>
            <w:bookmarkStart w:id="0" w:name="_GoBack"/>
            <w:bookmarkEnd w:id="0"/>
          </w:p>
          <w:p w:rsidR="000925C5" w:rsidRPr="00454E72" w:rsidRDefault="00C101D9" w:rsidP="009F7DDB">
            <w:pPr>
              <w:rPr>
                <w:rFonts w:cs="Arial"/>
                <w:sz w:val="22"/>
                <w:szCs w:val="22"/>
              </w:rPr>
            </w:pPr>
            <w:r w:rsidRPr="00485ACE">
              <w:rPr>
                <w:rFonts w:cs="Arial"/>
                <w:bCs/>
                <w:i/>
                <w:sz w:val="18"/>
                <w:szCs w:val="18"/>
              </w:rPr>
              <w:t>(Hackney Governance Services template</w:t>
            </w:r>
            <w:r w:rsidR="00485ACE" w:rsidRPr="00485ACE">
              <w:rPr>
                <w:rFonts w:cs="Arial"/>
                <w:bCs/>
                <w:i/>
                <w:sz w:val="18"/>
                <w:szCs w:val="18"/>
              </w:rPr>
              <w:t xml:space="preserve"> for an agenda of items to be discussed by Governing Boards either as a Full Governing Board or as a Committee, as appropriate</w:t>
            </w:r>
            <w:r w:rsidRPr="00485ACE">
              <w:rPr>
                <w:rFonts w:cs="Arial"/>
                <w:bCs/>
                <w:i/>
                <w:sz w:val="18"/>
                <w:szCs w:val="18"/>
              </w:rPr>
              <w:t>)</w:t>
            </w:r>
          </w:p>
        </w:tc>
      </w:tr>
      <w:tr w:rsidR="000925C5" w:rsidRPr="00454E72" w:rsidTr="002E027A">
        <w:trPr>
          <w:tblHeader/>
        </w:trPr>
        <w:tc>
          <w:tcPr>
            <w:tcW w:w="2507" w:type="dxa"/>
            <w:shd w:val="clear" w:color="auto" w:fill="97999C"/>
            <w:vAlign w:val="center"/>
          </w:tcPr>
          <w:p w:rsidR="000925C5" w:rsidRPr="00F02437" w:rsidRDefault="000925C5" w:rsidP="002A73F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</w:t>
            </w:r>
            <w:r w:rsidRPr="00F02437">
              <w:rPr>
                <w:rFonts w:cs="Arial"/>
                <w:b/>
                <w:sz w:val="22"/>
                <w:szCs w:val="22"/>
              </w:rPr>
              <w:t>ate</w:t>
            </w:r>
            <w:r>
              <w:rPr>
                <w:rFonts w:cs="Arial"/>
                <w:b/>
                <w:sz w:val="22"/>
                <w:szCs w:val="22"/>
              </w:rPr>
              <w:t>/</w:t>
            </w:r>
            <w:r w:rsidRPr="00F02437">
              <w:rPr>
                <w:rFonts w:cs="Arial"/>
                <w:b/>
                <w:sz w:val="22"/>
                <w:szCs w:val="22"/>
              </w:rPr>
              <w:t>time</w:t>
            </w:r>
            <w:r>
              <w:rPr>
                <w:rFonts w:cs="Arial"/>
                <w:b/>
                <w:sz w:val="22"/>
                <w:szCs w:val="22"/>
              </w:rPr>
              <w:t>/venue</w:t>
            </w:r>
            <w:r w:rsidRPr="00F02437">
              <w:rPr>
                <w:rFonts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8254" w:type="dxa"/>
          </w:tcPr>
          <w:p w:rsidR="002E027A" w:rsidRPr="001C1661" w:rsidRDefault="00877834" w:rsidP="003F6D67">
            <w:pPr>
              <w:rPr>
                <w:rFonts w:cs="Arial"/>
                <w:bCs/>
                <w:color w:val="FFC000"/>
                <w:sz w:val="22"/>
                <w:szCs w:val="22"/>
              </w:rPr>
            </w:pPr>
            <w:r w:rsidRPr="001C1661">
              <w:rPr>
                <w:rFonts w:cs="Arial"/>
                <w:bCs/>
                <w:color w:val="FFC000"/>
                <w:sz w:val="22"/>
                <w:szCs w:val="22"/>
              </w:rPr>
              <w:t>&lt;&lt;insert details&gt;&gt;</w:t>
            </w:r>
            <w:r w:rsidR="002E027A" w:rsidRPr="001C1661">
              <w:rPr>
                <w:rFonts w:cs="Arial"/>
                <w:bCs/>
                <w:color w:val="FFC000"/>
                <w:sz w:val="22"/>
                <w:szCs w:val="22"/>
              </w:rPr>
              <w:t xml:space="preserve"> </w:t>
            </w:r>
          </w:p>
          <w:p w:rsidR="00A94D63" w:rsidRPr="002E027A" w:rsidRDefault="00EF1CF2" w:rsidP="00EF1CF2">
            <w:pPr>
              <w:rPr>
                <w:rFonts w:cs="Arial"/>
                <w:i/>
                <w:color w:val="BFBFBF" w:themeColor="background1" w:themeShade="BF"/>
                <w:sz w:val="22"/>
                <w:szCs w:val="22"/>
              </w:rPr>
            </w:pPr>
            <w:r>
              <w:rPr>
                <w:rFonts w:cs="Arial"/>
                <w:i/>
                <w:color w:val="BFBFBF" w:themeColor="background1" w:themeShade="BF"/>
                <w:sz w:val="22"/>
                <w:szCs w:val="22"/>
              </w:rPr>
              <w:t>Held virtuall</w:t>
            </w:r>
            <w:r w:rsidR="001C1661">
              <w:rPr>
                <w:rFonts w:cs="Arial"/>
                <w:i/>
                <w:color w:val="BFBFBF" w:themeColor="background1" w:themeShade="BF"/>
                <w:sz w:val="22"/>
                <w:szCs w:val="22"/>
              </w:rPr>
              <w:t>y,</w:t>
            </w:r>
            <w:r w:rsidR="002E027A">
              <w:rPr>
                <w:rFonts w:cs="Arial"/>
                <w:i/>
                <w:color w:val="BFBFBF" w:themeColor="background1" w:themeShade="BF"/>
                <w:sz w:val="22"/>
                <w:szCs w:val="22"/>
              </w:rPr>
              <w:t xml:space="preserve"> in compliance with GDPR</w:t>
            </w:r>
            <w:r w:rsidR="002E027A" w:rsidRPr="002E027A">
              <w:rPr>
                <w:rFonts w:cs="Arial"/>
                <w:i/>
                <w:color w:val="BFBFBF" w:themeColor="background1" w:themeShade="BF"/>
                <w:sz w:val="22"/>
                <w:szCs w:val="22"/>
              </w:rPr>
              <w:t>.</w:t>
            </w:r>
          </w:p>
        </w:tc>
      </w:tr>
      <w:tr w:rsidR="000925C5" w:rsidRPr="00454E72" w:rsidTr="002E027A">
        <w:trPr>
          <w:tblHeader/>
        </w:trPr>
        <w:tc>
          <w:tcPr>
            <w:tcW w:w="2507" w:type="dxa"/>
            <w:shd w:val="clear" w:color="auto" w:fill="97999C"/>
            <w:vAlign w:val="center"/>
          </w:tcPr>
          <w:p w:rsidR="000925C5" w:rsidRPr="00F02437" w:rsidRDefault="000925C5" w:rsidP="002A73FD">
            <w:pPr>
              <w:ind w:left="1276" w:hanging="1276"/>
              <w:rPr>
                <w:rFonts w:cs="Arial"/>
                <w:b/>
                <w:sz w:val="22"/>
                <w:szCs w:val="22"/>
              </w:rPr>
            </w:pPr>
            <w:r w:rsidRPr="00F02437">
              <w:rPr>
                <w:rFonts w:cs="Arial"/>
                <w:b/>
                <w:sz w:val="22"/>
                <w:szCs w:val="22"/>
              </w:rPr>
              <w:t>Members:</w:t>
            </w:r>
            <w:r w:rsidRPr="00F02437">
              <w:rPr>
                <w:rFonts w:cs="Arial"/>
                <w:b/>
                <w:sz w:val="22"/>
                <w:szCs w:val="22"/>
              </w:rPr>
              <w:tab/>
            </w:r>
          </w:p>
        </w:tc>
        <w:tc>
          <w:tcPr>
            <w:tcW w:w="8254" w:type="dxa"/>
          </w:tcPr>
          <w:p w:rsidR="00B361C9" w:rsidRPr="001C1661" w:rsidRDefault="000925C5" w:rsidP="002E027A">
            <w:pPr>
              <w:ind w:left="1276" w:hanging="1276"/>
              <w:rPr>
                <w:rFonts w:cs="Arial"/>
                <w:bCs/>
                <w:color w:val="FFC000"/>
                <w:sz w:val="22"/>
                <w:szCs w:val="22"/>
              </w:rPr>
            </w:pPr>
            <w:r w:rsidRPr="001C1661">
              <w:rPr>
                <w:rFonts w:cs="Arial"/>
                <w:bCs/>
                <w:color w:val="FFC000"/>
                <w:sz w:val="22"/>
                <w:szCs w:val="22"/>
              </w:rPr>
              <w:t xml:space="preserve">&lt;&lt;insert </w:t>
            </w:r>
            <w:r w:rsidR="00B361C9" w:rsidRPr="001C1661">
              <w:rPr>
                <w:rFonts w:cs="Arial"/>
                <w:bCs/>
                <w:color w:val="FFC000"/>
                <w:sz w:val="22"/>
                <w:szCs w:val="22"/>
              </w:rPr>
              <w:t>details</w:t>
            </w:r>
            <w:r w:rsidRPr="001C1661">
              <w:rPr>
                <w:rFonts w:cs="Arial"/>
                <w:bCs/>
                <w:color w:val="FFC000"/>
                <w:sz w:val="22"/>
                <w:szCs w:val="22"/>
              </w:rPr>
              <w:t>&gt;&gt;</w:t>
            </w:r>
          </w:p>
          <w:tbl>
            <w:tblPr>
              <w:tblW w:w="806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1"/>
              <w:gridCol w:w="1049"/>
              <w:gridCol w:w="2636"/>
              <w:gridCol w:w="1418"/>
              <w:gridCol w:w="1984"/>
            </w:tblGrid>
            <w:tr w:rsidR="00B361C9" w:rsidRPr="00716F64" w:rsidTr="002E027A">
              <w:trPr>
                <w:trHeight w:val="332"/>
              </w:trPr>
              <w:tc>
                <w:tcPr>
                  <w:tcW w:w="9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61C9" w:rsidRPr="00CD0CA0" w:rsidRDefault="00B361C9" w:rsidP="003F6D67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0CA0">
                    <w:rPr>
                      <w:rFonts w:ascii="Arial" w:hAnsi="Arial" w:cs="Arial"/>
                      <w:b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61C9" w:rsidRPr="00CD0CA0" w:rsidRDefault="00B361C9" w:rsidP="003F6D67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0CA0">
                    <w:rPr>
                      <w:rFonts w:ascii="Arial" w:hAnsi="Arial" w:cs="Arial"/>
                      <w:b/>
                      <w:sz w:val="18"/>
                      <w:szCs w:val="18"/>
                    </w:rPr>
                    <w:t>Initials</w:t>
                  </w:r>
                </w:p>
              </w:tc>
              <w:tc>
                <w:tcPr>
                  <w:tcW w:w="26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61C9" w:rsidRPr="00CD0CA0" w:rsidRDefault="00B361C9" w:rsidP="003F6D67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0CA0">
                    <w:rPr>
                      <w:rFonts w:ascii="Arial" w:hAnsi="Arial" w:cs="Arial"/>
                      <w:b/>
                      <w:sz w:val="18"/>
                      <w:szCs w:val="18"/>
                    </w:rPr>
                    <w:t>Category of governor / role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B361C9" w:rsidRPr="00CD0CA0" w:rsidRDefault="00B361C9" w:rsidP="003F6D67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D0CA0">
                    <w:rPr>
                      <w:rFonts w:ascii="Arial" w:hAnsi="Arial" w:cs="Arial"/>
                      <w:b/>
                      <w:sz w:val="18"/>
                      <w:szCs w:val="18"/>
                    </w:rPr>
                    <w:t>Term of Office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CD0CA0" w:rsidRPr="00CD0CA0" w:rsidRDefault="00CD0CA0" w:rsidP="00CD0CA0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Presence</w:t>
                  </w:r>
                </w:p>
                <w:p w:rsidR="00B361C9" w:rsidRPr="00CD0CA0" w:rsidRDefault="00B361C9" w:rsidP="00B361C9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B361C9" w:rsidRPr="00716F64" w:rsidTr="002E027A">
              <w:trPr>
                <w:trHeight w:val="332"/>
              </w:trPr>
              <w:tc>
                <w:tcPr>
                  <w:tcW w:w="9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61C9" w:rsidRPr="00716F64" w:rsidRDefault="00B361C9" w:rsidP="003F6D67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61C9" w:rsidRPr="00716F64" w:rsidRDefault="00B361C9" w:rsidP="003F6D67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6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61C9" w:rsidRPr="00716F64" w:rsidRDefault="00B361C9" w:rsidP="003F6D67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B361C9" w:rsidRPr="00716F64" w:rsidRDefault="00B361C9" w:rsidP="003F6D67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</w:tcPr>
                <w:p w:rsidR="00B361C9" w:rsidRPr="00716F64" w:rsidRDefault="00B361C9" w:rsidP="003F6D67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F6D67" w:rsidRDefault="003F6D67" w:rsidP="002A73FD">
            <w:pPr>
              <w:ind w:left="1276" w:hanging="1276"/>
              <w:rPr>
                <w:rFonts w:cs="Arial"/>
                <w:sz w:val="22"/>
                <w:szCs w:val="22"/>
              </w:rPr>
            </w:pPr>
          </w:p>
        </w:tc>
      </w:tr>
      <w:tr w:rsidR="000925C5" w:rsidRPr="00454E72" w:rsidTr="002E027A">
        <w:trPr>
          <w:tblHeader/>
        </w:trPr>
        <w:tc>
          <w:tcPr>
            <w:tcW w:w="2507" w:type="dxa"/>
            <w:shd w:val="clear" w:color="auto" w:fill="97999C"/>
            <w:vAlign w:val="center"/>
          </w:tcPr>
          <w:p w:rsidR="000925C5" w:rsidRPr="00F02437" w:rsidRDefault="000925C5" w:rsidP="00CD0CA0">
            <w:pPr>
              <w:ind w:left="1276" w:hanging="1276"/>
              <w:rPr>
                <w:rFonts w:cs="Arial"/>
                <w:b/>
                <w:sz w:val="22"/>
                <w:szCs w:val="22"/>
              </w:rPr>
            </w:pPr>
            <w:r w:rsidRPr="00F02437">
              <w:rPr>
                <w:rFonts w:cs="Arial"/>
                <w:b/>
                <w:sz w:val="22"/>
                <w:szCs w:val="22"/>
              </w:rPr>
              <w:t>Additional attendees</w:t>
            </w:r>
            <w:r w:rsidR="00B361C9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54" w:type="dxa"/>
          </w:tcPr>
          <w:p w:rsidR="000925C5" w:rsidRDefault="000925C5" w:rsidP="002A73FD">
            <w:pPr>
              <w:ind w:left="1276" w:hanging="1276"/>
              <w:rPr>
                <w:rFonts w:cs="Arial"/>
                <w:sz w:val="22"/>
                <w:szCs w:val="22"/>
              </w:rPr>
            </w:pPr>
            <w:r w:rsidRPr="001C1661">
              <w:rPr>
                <w:rFonts w:cs="Arial"/>
                <w:bCs/>
                <w:color w:val="FFC000"/>
                <w:sz w:val="22"/>
                <w:szCs w:val="22"/>
              </w:rPr>
              <w:t>&lt;&lt;insert names&gt;&gt;</w:t>
            </w:r>
          </w:p>
        </w:tc>
      </w:tr>
      <w:tr w:rsidR="002E027A" w:rsidRPr="00454E72" w:rsidTr="00C101D9">
        <w:trPr>
          <w:trHeight w:val="1507"/>
          <w:tblHeader/>
        </w:trPr>
        <w:tc>
          <w:tcPr>
            <w:tcW w:w="2507" w:type="dxa"/>
            <w:shd w:val="clear" w:color="auto" w:fill="97999C"/>
            <w:vAlign w:val="center"/>
          </w:tcPr>
          <w:p w:rsidR="002E027A" w:rsidRPr="00F02437" w:rsidRDefault="002E027A" w:rsidP="00C101D9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254" w:type="dxa"/>
          </w:tcPr>
          <w:p w:rsidR="002E027A" w:rsidRPr="002E027A" w:rsidRDefault="002E027A" w:rsidP="002E027A">
            <w:pPr>
              <w:rPr>
                <w:rFonts w:cs="Arial"/>
                <w:b/>
                <w:sz w:val="16"/>
                <w:szCs w:val="16"/>
              </w:rPr>
            </w:pPr>
            <w:r w:rsidRPr="002E027A">
              <w:rPr>
                <w:rFonts w:cs="Arial"/>
                <w:b/>
                <w:sz w:val="16"/>
                <w:szCs w:val="16"/>
              </w:rPr>
              <w:t xml:space="preserve">Attendance: </w:t>
            </w:r>
            <w:r w:rsidRPr="002E027A">
              <w:rPr>
                <w:rFonts w:cs="Arial"/>
                <w:sz w:val="16"/>
                <w:szCs w:val="16"/>
              </w:rPr>
              <w:t xml:space="preserve">This meeting will be held </w:t>
            </w:r>
            <w:r w:rsidRPr="002E027A">
              <w:rPr>
                <w:rFonts w:cs="Arial"/>
                <w:b/>
                <w:sz w:val="16"/>
                <w:szCs w:val="16"/>
                <w:u w:val="single"/>
              </w:rPr>
              <w:t>virtually</w:t>
            </w:r>
            <w:r w:rsidRPr="002E027A">
              <w:rPr>
                <w:rFonts w:cs="Arial"/>
                <w:sz w:val="16"/>
                <w:szCs w:val="16"/>
              </w:rPr>
              <w:t>. Please follow these instructions on joining</w:t>
            </w:r>
            <w:r w:rsidRPr="001C1661">
              <w:rPr>
                <w:rFonts w:cs="Arial"/>
                <w:color w:val="FFC000"/>
                <w:sz w:val="16"/>
                <w:szCs w:val="16"/>
              </w:rPr>
              <w:t>&lt;&lt;insert details&gt;&gt;</w:t>
            </w:r>
            <w:r w:rsidRPr="001C1661">
              <w:rPr>
                <w:rFonts w:cs="Arial"/>
                <w:b/>
                <w:color w:val="FFC000"/>
                <w:sz w:val="16"/>
                <w:szCs w:val="16"/>
              </w:rPr>
              <w:t xml:space="preserve"> </w:t>
            </w:r>
            <w:r w:rsidRPr="002E027A">
              <w:rPr>
                <w:rFonts w:cs="Arial"/>
                <w:sz w:val="16"/>
                <w:szCs w:val="16"/>
              </w:rPr>
              <w:t>If you are unable to attend, please send your apologies to the clerk as soon as possible. The quorum for this meeting is</w:t>
            </w:r>
            <w:r w:rsidRPr="002E027A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Pr="001C1661">
              <w:rPr>
                <w:rFonts w:cs="Arial"/>
                <w:color w:val="FFC000"/>
                <w:sz w:val="16"/>
                <w:szCs w:val="16"/>
              </w:rPr>
              <w:t>&lt;&lt;insert details&gt;&gt;.</w:t>
            </w:r>
          </w:p>
          <w:p w:rsidR="002E027A" w:rsidRPr="002E027A" w:rsidRDefault="002E027A" w:rsidP="002E027A">
            <w:pPr>
              <w:rPr>
                <w:rFonts w:cs="Arial"/>
                <w:sz w:val="16"/>
                <w:szCs w:val="16"/>
              </w:rPr>
            </w:pPr>
            <w:r w:rsidRPr="002E027A">
              <w:rPr>
                <w:rFonts w:cs="Arial"/>
                <w:b/>
                <w:sz w:val="16"/>
                <w:szCs w:val="16"/>
              </w:rPr>
              <w:t>Notice on attendance:</w:t>
            </w:r>
            <w:r w:rsidRPr="002E027A">
              <w:rPr>
                <w:rFonts w:cs="Arial"/>
                <w:sz w:val="16"/>
                <w:szCs w:val="16"/>
              </w:rPr>
              <w:t xml:space="preserve"> Governors are reminded that in the case of absence, they may still be able to participate in the meeting by sending questions in relation to an</w:t>
            </w:r>
            <w:r w:rsidR="00DE7719">
              <w:rPr>
                <w:rFonts w:cs="Arial"/>
                <w:sz w:val="16"/>
                <w:szCs w:val="16"/>
              </w:rPr>
              <w:t>y</w:t>
            </w:r>
            <w:r w:rsidRPr="002E027A">
              <w:rPr>
                <w:rFonts w:cs="Arial"/>
                <w:sz w:val="16"/>
                <w:szCs w:val="16"/>
              </w:rPr>
              <w:t xml:space="preserve"> item on the agenda to the Chair, </w:t>
            </w:r>
            <w:proofErr w:type="spellStart"/>
            <w:r w:rsidRPr="002E027A">
              <w:rPr>
                <w:rFonts w:cs="Arial"/>
                <w:sz w:val="16"/>
                <w:szCs w:val="16"/>
              </w:rPr>
              <w:t>Headteacher</w:t>
            </w:r>
            <w:proofErr w:type="spellEnd"/>
            <w:r w:rsidRPr="002E027A">
              <w:rPr>
                <w:rFonts w:cs="Arial"/>
                <w:sz w:val="16"/>
                <w:szCs w:val="16"/>
              </w:rPr>
              <w:t xml:space="preserve"> or the Clerk. </w:t>
            </w:r>
          </w:p>
          <w:p w:rsidR="002E027A" w:rsidRPr="002E027A" w:rsidRDefault="002E027A" w:rsidP="002E027A">
            <w:pPr>
              <w:rPr>
                <w:rFonts w:cs="Arial"/>
                <w:sz w:val="16"/>
                <w:szCs w:val="16"/>
              </w:rPr>
            </w:pPr>
            <w:r w:rsidRPr="002E027A">
              <w:rPr>
                <w:rFonts w:cs="Arial"/>
                <w:b/>
                <w:sz w:val="16"/>
                <w:szCs w:val="16"/>
              </w:rPr>
              <w:t>Preparation:</w:t>
            </w:r>
            <w:r w:rsidRPr="002E027A">
              <w:rPr>
                <w:rFonts w:cs="Arial"/>
                <w:sz w:val="16"/>
                <w:szCs w:val="16"/>
              </w:rPr>
              <w:t xml:space="preserve"> Governors are reminded to prepare for this meeting by reading all the documentation circulated.</w:t>
            </w:r>
          </w:p>
          <w:p w:rsidR="002E027A" w:rsidRPr="00C101D9" w:rsidRDefault="002E027A" w:rsidP="00C101D9">
            <w:pPr>
              <w:rPr>
                <w:rFonts w:cs="Arial"/>
                <w:sz w:val="16"/>
                <w:szCs w:val="16"/>
              </w:rPr>
            </w:pPr>
            <w:r w:rsidRPr="002E027A">
              <w:rPr>
                <w:rFonts w:cs="Arial"/>
                <w:b/>
                <w:sz w:val="16"/>
                <w:szCs w:val="16"/>
              </w:rPr>
              <w:t>Declaration:</w:t>
            </w:r>
            <w:r w:rsidRPr="002E027A">
              <w:rPr>
                <w:rFonts w:cs="Arial"/>
                <w:sz w:val="16"/>
                <w:szCs w:val="16"/>
              </w:rPr>
              <w:t xml:space="preserve"> Governors and associate members are reminded that if they have a personal or business interest in any of the agenda items,</w:t>
            </w:r>
            <w:r>
              <w:rPr>
                <w:rFonts w:cs="Arial"/>
                <w:sz w:val="16"/>
                <w:szCs w:val="16"/>
              </w:rPr>
              <w:t xml:space="preserve"> then it must be declared</w:t>
            </w:r>
            <w:r w:rsidRPr="002E027A">
              <w:rPr>
                <w:rFonts w:cs="Arial"/>
                <w:sz w:val="16"/>
                <w:szCs w:val="16"/>
              </w:rPr>
              <w:t>, and they must withd</w:t>
            </w:r>
            <w:r w:rsidR="00C101D9">
              <w:rPr>
                <w:rFonts w:cs="Arial"/>
                <w:sz w:val="16"/>
                <w:szCs w:val="16"/>
              </w:rPr>
              <w:t>raw for that part of the agenda.</w:t>
            </w:r>
          </w:p>
        </w:tc>
      </w:tr>
    </w:tbl>
    <w:p w:rsidR="000925C5" w:rsidRPr="00D33CCF" w:rsidRDefault="000925C5" w:rsidP="000925C5">
      <w:pPr>
        <w:rPr>
          <w:sz w:val="18"/>
          <w:szCs w:val="18"/>
        </w:rPr>
      </w:pPr>
    </w:p>
    <w:p w:rsidR="003F6D67" w:rsidRDefault="003F6D67" w:rsidP="00C101D9">
      <w:pPr>
        <w:rPr>
          <w:rFonts w:cs="HelveticaNeueLT Std"/>
        </w:rPr>
      </w:pPr>
    </w:p>
    <w:p w:rsidR="003F6D67" w:rsidRPr="003F6D67" w:rsidRDefault="003F6D67" w:rsidP="003F6D67">
      <w:pPr>
        <w:rPr>
          <w:rFonts w:cs="Arial"/>
          <w:b/>
          <w:bCs/>
          <w:color w:val="000000"/>
          <w:sz w:val="22"/>
          <w:szCs w:val="22"/>
        </w:rPr>
      </w:pPr>
      <w:r w:rsidRPr="003F6D67">
        <w:rPr>
          <w:rFonts w:cs="Arial"/>
          <w:b/>
          <w:bCs/>
          <w:color w:val="000000"/>
          <w:sz w:val="22"/>
          <w:szCs w:val="22"/>
        </w:rPr>
        <w:t>PART 1: Non-Confidential</w:t>
      </w:r>
    </w:p>
    <w:p w:rsidR="000925C5" w:rsidRDefault="000925C5" w:rsidP="000925C5">
      <w:pPr>
        <w:tabs>
          <w:tab w:val="left" w:pos="975"/>
        </w:tabs>
      </w:pPr>
    </w:p>
    <w:tbl>
      <w:tblPr>
        <w:tblpPr w:leftFromText="180" w:rightFromText="180" w:vertAnchor="text" w:tblpX="-5" w:tblpY="1"/>
        <w:tblOverlap w:val="never"/>
        <w:tblW w:w="4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08"/>
        <w:gridCol w:w="7084"/>
        <w:gridCol w:w="850"/>
        <w:gridCol w:w="851"/>
        <w:gridCol w:w="708"/>
      </w:tblGrid>
      <w:tr w:rsidR="00FB75E2" w:rsidRPr="00D33CCF" w:rsidTr="00FB75E2">
        <w:trPr>
          <w:tblHeader/>
        </w:trPr>
        <w:tc>
          <w:tcPr>
            <w:tcW w:w="708" w:type="dxa"/>
            <w:tcBorders>
              <w:bottom w:val="single" w:sz="4" w:space="0" w:color="auto"/>
            </w:tcBorders>
            <w:shd w:val="clear" w:color="auto" w:fill="97999C"/>
            <w:vAlign w:val="center"/>
          </w:tcPr>
          <w:p w:rsidR="00FB75E2" w:rsidRPr="00DE7719" w:rsidRDefault="00FB75E2" w:rsidP="00DE7719">
            <w:pPr>
              <w:ind w:left="357" w:hanging="357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84" w:type="dxa"/>
            <w:tcBorders>
              <w:bottom w:val="single" w:sz="4" w:space="0" w:color="auto"/>
            </w:tcBorders>
            <w:shd w:val="clear" w:color="auto" w:fill="97999C"/>
          </w:tcPr>
          <w:p w:rsidR="00FB75E2" w:rsidRPr="00DE7719" w:rsidRDefault="00FB75E2" w:rsidP="00DE7719">
            <w:pPr>
              <w:rPr>
                <w:rFonts w:cs="Arial"/>
                <w:b/>
                <w:sz w:val="20"/>
                <w:szCs w:val="20"/>
              </w:rPr>
            </w:pPr>
            <w:r w:rsidRPr="00DE7719">
              <w:rPr>
                <w:rFonts w:cs="Arial"/>
                <w:b/>
                <w:sz w:val="20"/>
                <w:szCs w:val="20"/>
              </w:rPr>
              <w:t>Item / suggested questions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7999C"/>
          </w:tcPr>
          <w:p w:rsidR="00FB75E2" w:rsidRPr="00DE7719" w:rsidRDefault="00FB75E2" w:rsidP="00DE7719">
            <w:pPr>
              <w:rPr>
                <w:rFonts w:cs="Arial"/>
                <w:b/>
                <w:sz w:val="20"/>
                <w:szCs w:val="20"/>
              </w:rPr>
            </w:pPr>
            <w:r w:rsidRPr="00DE7719">
              <w:rPr>
                <w:rFonts w:cs="Arial"/>
                <w:b/>
                <w:sz w:val="20"/>
                <w:szCs w:val="20"/>
              </w:rPr>
              <w:t>Purpose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7999C"/>
          </w:tcPr>
          <w:p w:rsidR="00FB75E2" w:rsidRPr="00DE7719" w:rsidRDefault="00FB75E2" w:rsidP="00DE7719">
            <w:pPr>
              <w:rPr>
                <w:rFonts w:cs="Arial"/>
                <w:b/>
                <w:sz w:val="20"/>
                <w:szCs w:val="20"/>
              </w:rPr>
            </w:pPr>
            <w:r w:rsidRPr="00DE7719">
              <w:rPr>
                <w:rFonts w:cs="Arial"/>
                <w:b/>
                <w:sz w:val="20"/>
                <w:szCs w:val="20"/>
              </w:rPr>
              <w:t>Lead</w:t>
            </w:r>
            <w:r>
              <w:rPr>
                <w:rFonts w:cs="Arial"/>
                <w:b/>
                <w:sz w:val="20"/>
                <w:szCs w:val="20"/>
              </w:rPr>
              <w:t xml:space="preserve"> / Time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7999C"/>
          </w:tcPr>
          <w:p w:rsidR="00FB75E2" w:rsidRPr="00DE7719" w:rsidRDefault="00FB75E2" w:rsidP="00DE7719">
            <w:pPr>
              <w:rPr>
                <w:rFonts w:cs="Arial"/>
                <w:b/>
                <w:sz w:val="20"/>
                <w:szCs w:val="20"/>
              </w:rPr>
            </w:pPr>
            <w:r w:rsidRPr="00DE7719">
              <w:rPr>
                <w:rFonts w:cs="Arial"/>
                <w:b/>
                <w:sz w:val="20"/>
                <w:szCs w:val="20"/>
              </w:rPr>
              <w:t xml:space="preserve">Papers </w:t>
            </w:r>
          </w:p>
        </w:tc>
      </w:tr>
      <w:tr w:rsidR="00FB75E2" w:rsidRPr="00D33CCF" w:rsidTr="00FB75E2">
        <w:tc>
          <w:tcPr>
            <w:tcW w:w="708" w:type="dxa"/>
            <w:tcBorders>
              <w:bottom w:val="nil"/>
            </w:tcBorders>
          </w:tcPr>
          <w:p w:rsidR="00FB75E2" w:rsidRPr="00DE7719" w:rsidRDefault="00FB75E2" w:rsidP="009421C2">
            <w:pPr>
              <w:pStyle w:val="textregular"/>
              <w:numPr>
                <w:ilvl w:val="0"/>
                <w:numId w:val="12"/>
              </w:numPr>
              <w:rPr>
                <w:rFonts w:cs="Arial"/>
                <w:b/>
                <w:noProof w:val="0"/>
                <w:sz w:val="20"/>
              </w:rPr>
            </w:pPr>
          </w:p>
        </w:tc>
        <w:tc>
          <w:tcPr>
            <w:tcW w:w="7084" w:type="dxa"/>
            <w:tcBorders>
              <w:bottom w:val="nil"/>
            </w:tcBorders>
          </w:tcPr>
          <w:p w:rsidR="00FB75E2" w:rsidRPr="00DE7719" w:rsidRDefault="00FB75E2" w:rsidP="00DE7719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DE7719">
              <w:rPr>
                <w:rFonts w:cs="Arial"/>
                <w:b/>
                <w:iCs/>
                <w:sz w:val="20"/>
                <w:szCs w:val="20"/>
              </w:rPr>
              <w:t>Welcome and introductions</w:t>
            </w:r>
          </w:p>
        </w:tc>
        <w:tc>
          <w:tcPr>
            <w:tcW w:w="850" w:type="dxa"/>
            <w:tcBorders>
              <w:bottom w:val="nil"/>
            </w:tcBorders>
          </w:tcPr>
          <w:p w:rsidR="00FB75E2" w:rsidRPr="00DE7719" w:rsidRDefault="00FB75E2" w:rsidP="00DE7719">
            <w:pPr>
              <w:pStyle w:val="textregular"/>
              <w:ind w:left="17"/>
              <w:rPr>
                <w:rFonts w:cs="Arial"/>
                <w:noProof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B75E2" w:rsidRPr="00DE7719" w:rsidRDefault="00FB75E2" w:rsidP="00DE7719">
            <w:pPr>
              <w:pStyle w:val="textregular"/>
              <w:ind w:left="17"/>
              <w:rPr>
                <w:rFonts w:cs="Arial"/>
                <w:noProof w:val="0"/>
                <w:sz w:val="16"/>
                <w:szCs w:val="16"/>
              </w:rPr>
            </w:pPr>
            <w:r w:rsidRPr="00DE7719">
              <w:rPr>
                <w:rFonts w:cs="Arial"/>
                <w:noProof w:val="0"/>
                <w:sz w:val="16"/>
                <w:szCs w:val="16"/>
              </w:rPr>
              <w:t>Chair</w:t>
            </w:r>
          </w:p>
        </w:tc>
        <w:tc>
          <w:tcPr>
            <w:tcW w:w="708" w:type="dxa"/>
            <w:tcBorders>
              <w:bottom w:val="nil"/>
            </w:tcBorders>
          </w:tcPr>
          <w:p w:rsidR="00FB75E2" w:rsidRPr="00D33CCF" w:rsidRDefault="00FB75E2" w:rsidP="00DE7719">
            <w:pPr>
              <w:pStyle w:val="textregular"/>
              <w:ind w:left="17"/>
              <w:rPr>
                <w:rFonts w:cs="Arial"/>
                <w:noProof w:val="0"/>
                <w:sz w:val="18"/>
                <w:szCs w:val="18"/>
              </w:rPr>
            </w:pPr>
          </w:p>
        </w:tc>
      </w:tr>
      <w:tr w:rsidR="00FB75E2" w:rsidRPr="00D33CCF" w:rsidTr="00FB75E2">
        <w:tc>
          <w:tcPr>
            <w:tcW w:w="708" w:type="dxa"/>
            <w:tcBorders>
              <w:bottom w:val="single" w:sz="4" w:space="0" w:color="auto"/>
            </w:tcBorders>
          </w:tcPr>
          <w:p w:rsidR="00FB75E2" w:rsidRPr="00DE7719" w:rsidRDefault="00FB75E2" w:rsidP="009421C2">
            <w:pPr>
              <w:pStyle w:val="textregular"/>
              <w:numPr>
                <w:ilvl w:val="0"/>
                <w:numId w:val="12"/>
              </w:numPr>
              <w:rPr>
                <w:rFonts w:cs="Arial"/>
                <w:b/>
                <w:noProof w:val="0"/>
                <w:sz w:val="20"/>
              </w:rPr>
            </w:pPr>
          </w:p>
        </w:tc>
        <w:tc>
          <w:tcPr>
            <w:tcW w:w="7084" w:type="dxa"/>
            <w:tcBorders>
              <w:bottom w:val="single" w:sz="4" w:space="0" w:color="auto"/>
            </w:tcBorders>
          </w:tcPr>
          <w:p w:rsidR="00FB75E2" w:rsidRPr="00DE7719" w:rsidRDefault="00FB75E2" w:rsidP="00DE7719">
            <w:pPr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DE7719">
              <w:rPr>
                <w:rFonts w:cs="Arial"/>
                <w:b/>
                <w:iCs/>
                <w:color w:val="000000"/>
                <w:sz w:val="20"/>
                <w:szCs w:val="20"/>
              </w:rPr>
              <w:t>Acknowledgment and Agreement of Virtual Meeting in line with GDPR regulations and school policy.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75E2" w:rsidRPr="00DE7719" w:rsidRDefault="00FB75E2" w:rsidP="00DE7719">
            <w:pPr>
              <w:rPr>
                <w:rFonts w:cs="Arial"/>
                <w:sz w:val="16"/>
                <w:szCs w:val="16"/>
              </w:rPr>
            </w:pPr>
            <w:r w:rsidRPr="00DE7719">
              <w:rPr>
                <w:rFonts w:cs="Arial"/>
                <w:sz w:val="16"/>
                <w:szCs w:val="16"/>
              </w:rPr>
              <w:t>To agree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75E2" w:rsidRPr="00DE7719" w:rsidRDefault="00FB75E2" w:rsidP="00DE7719">
            <w:pPr>
              <w:pStyle w:val="textregular"/>
              <w:ind w:left="17"/>
              <w:rPr>
                <w:rFonts w:cs="Arial"/>
                <w:noProof w:val="0"/>
                <w:sz w:val="16"/>
                <w:szCs w:val="16"/>
              </w:rPr>
            </w:pPr>
            <w:r w:rsidRPr="00DE7719">
              <w:rPr>
                <w:rFonts w:cs="Arial"/>
                <w:noProof w:val="0"/>
                <w:sz w:val="16"/>
                <w:szCs w:val="16"/>
              </w:rPr>
              <w:t>Chair / All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75E2" w:rsidRPr="00D33CCF" w:rsidRDefault="00FB75E2" w:rsidP="00DE7719">
            <w:pPr>
              <w:pStyle w:val="textregular"/>
              <w:ind w:left="17"/>
              <w:rPr>
                <w:rFonts w:cs="Arial"/>
                <w:noProof w:val="0"/>
                <w:sz w:val="18"/>
                <w:szCs w:val="18"/>
              </w:rPr>
            </w:pPr>
          </w:p>
        </w:tc>
      </w:tr>
      <w:tr w:rsidR="00FB75E2" w:rsidRPr="00D33CCF" w:rsidTr="00975450">
        <w:trPr>
          <w:trHeight w:val="321"/>
        </w:trPr>
        <w:tc>
          <w:tcPr>
            <w:tcW w:w="708" w:type="dxa"/>
            <w:tcBorders>
              <w:bottom w:val="nil"/>
            </w:tcBorders>
          </w:tcPr>
          <w:p w:rsidR="00FB75E2" w:rsidRPr="00DE7719" w:rsidRDefault="00FB75E2" w:rsidP="009421C2">
            <w:pPr>
              <w:pStyle w:val="textregular"/>
              <w:numPr>
                <w:ilvl w:val="0"/>
                <w:numId w:val="12"/>
              </w:numPr>
              <w:rPr>
                <w:rFonts w:cs="Arial"/>
                <w:b/>
                <w:noProof w:val="0"/>
                <w:sz w:val="20"/>
              </w:rPr>
            </w:pPr>
          </w:p>
        </w:tc>
        <w:tc>
          <w:tcPr>
            <w:tcW w:w="7084" w:type="dxa"/>
            <w:tcBorders>
              <w:bottom w:val="nil"/>
            </w:tcBorders>
          </w:tcPr>
          <w:p w:rsidR="00FB75E2" w:rsidRPr="00DE7719" w:rsidRDefault="00FB75E2" w:rsidP="00DE7719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DE7719">
              <w:rPr>
                <w:rFonts w:cs="Arial"/>
                <w:b/>
                <w:iCs/>
                <w:sz w:val="20"/>
                <w:szCs w:val="20"/>
              </w:rPr>
              <w:t>Receive and consider apologies from governors not in attendance</w:t>
            </w:r>
          </w:p>
        </w:tc>
        <w:tc>
          <w:tcPr>
            <w:tcW w:w="850" w:type="dxa"/>
            <w:tcBorders>
              <w:bottom w:val="nil"/>
            </w:tcBorders>
          </w:tcPr>
          <w:p w:rsidR="00FB75E2" w:rsidRPr="00975450" w:rsidRDefault="00FB75E2" w:rsidP="00975450">
            <w:pPr>
              <w:rPr>
                <w:rFonts w:cs="Arial"/>
                <w:iCs/>
                <w:sz w:val="16"/>
                <w:szCs w:val="16"/>
              </w:rPr>
            </w:pPr>
            <w:r w:rsidRPr="00DE7719">
              <w:rPr>
                <w:rFonts w:cs="Arial"/>
                <w:iCs/>
                <w:sz w:val="16"/>
                <w:szCs w:val="16"/>
              </w:rPr>
              <w:t xml:space="preserve">To receive </w:t>
            </w:r>
          </w:p>
        </w:tc>
        <w:tc>
          <w:tcPr>
            <w:tcW w:w="851" w:type="dxa"/>
            <w:tcBorders>
              <w:bottom w:val="nil"/>
            </w:tcBorders>
          </w:tcPr>
          <w:p w:rsidR="00FB75E2" w:rsidRPr="00DE7719" w:rsidRDefault="00FB75E2" w:rsidP="00DE7719">
            <w:pPr>
              <w:pStyle w:val="textregular"/>
              <w:ind w:left="17"/>
              <w:rPr>
                <w:rFonts w:cs="Arial"/>
                <w:noProof w:val="0"/>
                <w:sz w:val="16"/>
                <w:szCs w:val="16"/>
              </w:rPr>
            </w:pPr>
            <w:r w:rsidRPr="00DE7719">
              <w:rPr>
                <w:rFonts w:cs="Arial"/>
                <w:noProof w:val="0"/>
                <w:sz w:val="16"/>
                <w:szCs w:val="16"/>
              </w:rPr>
              <w:t>Chair / Clerk</w:t>
            </w:r>
          </w:p>
        </w:tc>
        <w:tc>
          <w:tcPr>
            <w:tcW w:w="708" w:type="dxa"/>
            <w:tcBorders>
              <w:bottom w:val="nil"/>
            </w:tcBorders>
          </w:tcPr>
          <w:p w:rsidR="00FB75E2" w:rsidRPr="00D33CCF" w:rsidRDefault="00FB75E2" w:rsidP="00DE7719">
            <w:pPr>
              <w:pStyle w:val="textregular"/>
              <w:ind w:left="17"/>
              <w:rPr>
                <w:rFonts w:cs="Arial"/>
                <w:noProof w:val="0"/>
                <w:sz w:val="18"/>
                <w:szCs w:val="18"/>
              </w:rPr>
            </w:pPr>
          </w:p>
        </w:tc>
      </w:tr>
      <w:tr w:rsidR="00FB75E2" w:rsidRPr="00D33CCF" w:rsidTr="00FB75E2">
        <w:tc>
          <w:tcPr>
            <w:tcW w:w="708" w:type="dxa"/>
          </w:tcPr>
          <w:p w:rsidR="00FB75E2" w:rsidRPr="00DE7719" w:rsidRDefault="00FB75E2" w:rsidP="009421C2">
            <w:pPr>
              <w:pStyle w:val="textregular"/>
              <w:numPr>
                <w:ilvl w:val="0"/>
                <w:numId w:val="12"/>
              </w:numPr>
              <w:rPr>
                <w:rFonts w:cs="Arial"/>
                <w:b/>
                <w:noProof w:val="0"/>
                <w:sz w:val="20"/>
              </w:rPr>
            </w:pPr>
          </w:p>
        </w:tc>
        <w:tc>
          <w:tcPr>
            <w:tcW w:w="7084" w:type="dxa"/>
          </w:tcPr>
          <w:p w:rsidR="00FB75E2" w:rsidRPr="00DE7719" w:rsidRDefault="00FB75E2" w:rsidP="00DE7719">
            <w:pPr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DE7719">
              <w:rPr>
                <w:rFonts w:cs="Arial"/>
                <w:b/>
                <w:iCs/>
                <w:color w:val="000000"/>
                <w:sz w:val="20"/>
                <w:szCs w:val="20"/>
              </w:rPr>
              <w:t>Minutes of the previous meeting</w:t>
            </w:r>
          </w:p>
          <w:p w:rsidR="00FB75E2" w:rsidRPr="00DE7719" w:rsidRDefault="00FB75E2" w:rsidP="009421C2">
            <w:pPr>
              <w:numPr>
                <w:ilvl w:val="0"/>
                <w:numId w:val="2"/>
              </w:num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DE7719">
              <w:rPr>
                <w:rFonts w:cs="Arial"/>
                <w:iCs/>
                <w:color w:val="000000"/>
                <w:sz w:val="20"/>
                <w:szCs w:val="20"/>
              </w:rPr>
              <w:t>To agree previous minutes</w:t>
            </w:r>
            <w:r w:rsidRPr="001C1661">
              <w:rPr>
                <w:rFonts w:cs="Arial"/>
                <w:iCs/>
                <w:color w:val="FFC000"/>
                <w:sz w:val="20"/>
                <w:szCs w:val="20"/>
              </w:rPr>
              <w:t xml:space="preserve"> </w:t>
            </w:r>
            <w:r w:rsidRPr="001C1661">
              <w:rPr>
                <w:rFonts w:cs="Arial"/>
                <w:bCs/>
                <w:color w:val="FFC000"/>
                <w:sz w:val="20"/>
                <w:szCs w:val="20"/>
              </w:rPr>
              <w:t>&lt;&lt;insert date&gt;&gt;</w:t>
            </w:r>
          </w:p>
          <w:p w:rsidR="00FB75E2" w:rsidRPr="00DE7719" w:rsidRDefault="00FB75E2" w:rsidP="009421C2">
            <w:pPr>
              <w:numPr>
                <w:ilvl w:val="0"/>
                <w:numId w:val="2"/>
              </w:num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DE7719">
              <w:rPr>
                <w:rFonts w:cs="Arial"/>
                <w:iCs/>
                <w:color w:val="000000"/>
                <w:sz w:val="20"/>
                <w:szCs w:val="20"/>
              </w:rPr>
              <w:t>Action Items</w:t>
            </w:r>
          </w:p>
          <w:p w:rsidR="00FB75E2" w:rsidRPr="00DE7719" w:rsidRDefault="00FB75E2" w:rsidP="009421C2">
            <w:pPr>
              <w:numPr>
                <w:ilvl w:val="0"/>
                <w:numId w:val="2"/>
              </w:numPr>
              <w:rPr>
                <w:rFonts w:cs="Arial"/>
                <w:iCs/>
                <w:color w:val="000000"/>
                <w:sz w:val="20"/>
                <w:szCs w:val="20"/>
              </w:rPr>
            </w:pPr>
            <w:r w:rsidRPr="00DE7719">
              <w:rPr>
                <w:rFonts w:cs="Arial"/>
                <w:iCs/>
                <w:color w:val="000000"/>
                <w:sz w:val="20"/>
                <w:szCs w:val="20"/>
              </w:rPr>
              <w:t>Matters outstanding</w:t>
            </w:r>
          </w:p>
        </w:tc>
        <w:tc>
          <w:tcPr>
            <w:tcW w:w="850" w:type="dxa"/>
          </w:tcPr>
          <w:p w:rsidR="00FB75E2" w:rsidRPr="00DE7719" w:rsidRDefault="00FB75E2" w:rsidP="00DE7719">
            <w:pPr>
              <w:pStyle w:val="textregular"/>
              <w:ind w:left="17"/>
              <w:rPr>
                <w:rFonts w:cs="Arial"/>
                <w:noProof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FB75E2" w:rsidRPr="00DE7719" w:rsidRDefault="00FB75E2" w:rsidP="00DE7719">
            <w:pPr>
              <w:pStyle w:val="textregular"/>
              <w:ind w:left="17"/>
              <w:rPr>
                <w:rFonts w:cs="Arial"/>
                <w:noProof w:val="0"/>
                <w:sz w:val="16"/>
                <w:szCs w:val="16"/>
              </w:rPr>
            </w:pPr>
            <w:r>
              <w:rPr>
                <w:rFonts w:cs="Arial"/>
                <w:noProof w:val="0"/>
                <w:sz w:val="16"/>
                <w:szCs w:val="16"/>
              </w:rPr>
              <w:t>Chair</w:t>
            </w:r>
          </w:p>
        </w:tc>
        <w:tc>
          <w:tcPr>
            <w:tcW w:w="708" w:type="dxa"/>
          </w:tcPr>
          <w:p w:rsidR="00FB75E2" w:rsidRPr="00D33CCF" w:rsidRDefault="00FB75E2" w:rsidP="00DE7719">
            <w:pPr>
              <w:pStyle w:val="textregular"/>
              <w:ind w:left="17"/>
              <w:rPr>
                <w:rFonts w:cs="Arial"/>
                <w:noProof w:val="0"/>
                <w:sz w:val="18"/>
                <w:szCs w:val="18"/>
              </w:rPr>
            </w:pPr>
          </w:p>
        </w:tc>
      </w:tr>
      <w:tr w:rsidR="00975450" w:rsidRPr="00D33CCF" w:rsidTr="00FB75E2">
        <w:tc>
          <w:tcPr>
            <w:tcW w:w="708" w:type="dxa"/>
          </w:tcPr>
          <w:p w:rsidR="00975450" w:rsidRPr="00DE7719" w:rsidRDefault="00975450" w:rsidP="009421C2">
            <w:pPr>
              <w:pStyle w:val="textregular"/>
              <w:numPr>
                <w:ilvl w:val="0"/>
                <w:numId w:val="12"/>
              </w:numPr>
              <w:rPr>
                <w:rFonts w:cs="Arial"/>
                <w:b/>
                <w:noProof w:val="0"/>
                <w:sz w:val="20"/>
              </w:rPr>
            </w:pPr>
          </w:p>
        </w:tc>
        <w:tc>
          <w:tcPr>
            <w:tcW w:w="7084" w:type="dxa"/>
          </w:tcPr>
          <w:p w:rsidR="00975450" w:rsidRPr="00DE7719" w:rsidRDefault="00975450" w:rsidP="00975450">
            <w:pPr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 xml:space="preserve">(Full) </w:t>
            </w:r>
            <w:r w:rsidRPr="00DE7719">
              <w:rPr>
                <w:rFonts w:cs="Arial"/>
                <w:b/>
                <w:iCs/>
                <w:color w:val="000000"/>
                <w:sz w:val="20"/>
                <w:szCs w:val="20"/>
              </w:rPr>
              <w:t xml:space="preserve">Governing Body Business </w:t>
            </w:r>
          </w:p>
          <w:p w:rsidR="00975450" w:rsidRPr="00DE7719" w:rsidRDefault="00975450" w:rsidP="00975450">
            <w:pPr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DE7719">
              <w:rPr>
                <w:rFonts w:cs="Arial"/>
                <w:iCs/>
                <w:color w:val="000000"/>
                <w:sz w:val="20"/>
                <w:szCs w:val="20"/>
              </w:rPr>
              <w:t>Governing Board composition: new appointments / terms of office</w:t>
            </w:r>
          </w:p>
        </w:tc>
        <w:tc>
          <w:tcPr>
            <w:tcW w:w="850" w:type="dxa"/>
          </w:tcPr>
          <w:p w:rsidR="00975450" w:rsidRPr="00DE7719" w:rsidRDefault="00975450" w:rsidP="00DE7719">
            <w:pPr>
              <w:pStyle w:val="textregular"/>
              <w:ind w:left="17"/>
              <w:rPr>
                <w:rFonts w:cs="Arial"/>
                <w:noProof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975450" w:rsidRDefault="00975450" w:rsidP="00DE7719">
            <w:pPr>
              <w:pStyle w:val="textregular"/>
              <w:ind w:left="17"/>
              <w:rPr>
                <w:rFonts w:cs="Arial"/>
                <w:noProof w:val="0"/>
                <w:sz w:val="16"/>
                <w:szCs w:val="16"/>
              </w:rPr>
            </w:pPr>
            <w:r>
              <w:rPr>
                <w:rFonts w:cs="Arial"/>
                <w:noProof w:val="0"/>
                <w:sz w:val="16"/>
                <w:szCs w:val="16"/>
              </w:rPr>
              <w:t>Chair/ All</w:t>
            </w:r>
          </w:p>
        </w:tc>
        <w:tc>
          <w:tcPr>
            <w:tcW w:w="708" w:type="dxa"/>
          </w:tcPr>
          <w:p w:rsidR="00975450" w:rsidRPr="00D33CCF" w:rsidRDefault="00975450" w:rsidP="00DE7719">
            <w:pPr>
              <w:pStyle w:val="textregular"/>
              <w:ind w:left="17"/>
              <w:rPr>
                <w:rFonts w:cs="Arial"/>
                <w:noProof w:val="0"/>
                <w:sz w:val="18"/>
                <w:szCs w:val="18"/>
              </w:rPr>
            </w:pPr>
          </w:p>
        </w:tc>
      </w:tr>
      <w:tr w:rsidR="00FB75E2" w:rsidRPr="00D33CCF" w:rsidTr="00FB75E2">
        <w:tc>
          <w:tcPr>
            <w:tcW w:w="708" w:type="dxa"/>
          </w:tcPr>
          <w:p w:rsidR="00FB75E2" w:rsidRPr="00DE7719" w:rsidRDefault="00FB75E2" w:rsidP="009421C2">
            <w:pPr>
              <w:pStyle w:val="textregular"/>
              <w:numPr>
                <w:ilvl w:val="0"/>
                <w:numId w:val="12"/>
              </w:numPr>
              <w:rPr>
                <w:rFonts w:cs="Arial"/>
                <w:b/>
                <w:noProof w:val="0"/>
                <w:sz w:val="20"/>
              </w:rPr>
            </w:pPr>
          </w:p>
        </w:tc>
        <w:tc>
          <w:tcPr>
            <w:tcW w:w="7084" w:type="dxa"/>
          </w:tcPr>
          <w:p w:rsidR="00FB75E2" w:rsidRDefault="00FB75E2" w:rsidP="00DE7719">
            <w:pPr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proofErr w:type="spellStart"/>
            <w:r w:rsidRPr="00DE7719">
              <w:rPr>
                <w:rFonts w:cs="Arial"/>
                <w:b/>
                <w:iCs/>
                <w:color w:val="000000"/>
                <w:sz w:val="20"/>
                <w:szCs w:val="20"/>
              </w:rPr>
              <w:t>Headteacher’s</w:t>
            </w:r>
            <w:proofErr w:type="spellEnd"/>
            <w:r w:rsidRPr="00DE7719">
              <w:rPr>
                <w:rFonts w:cs="Arial"/>
                <w:b/>
                <w:iCs/>
                <w:color w:val="000000"/>
                <w:sz w:val="20"/>
                <w:szCs w:val="20"/>
              </w:rPr>
              <w:t xml:space="preserve"> Report</w:t>
            </w:r>
          </w:p>
          <w:p w:rsidR="00FB75E2" w:rsidRPr="00485ACE" w:rsidRDefault="00FB75E2" w:rsidP="00EF1CF2">
            <w:pPr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485ACE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NB</w:t>
            </w:r>
            <w:r w:rsidRPr="00485ACE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We suggest a </w:t>
            </w:r>
            <w:r w:rsidRPr="00485ACE">
              <w:rPr>
                <w:rFonts w:cs="Arial"/>
                <w:b/>
                <w:i/>
                <w:iCs/>
                <w:color w:val="000000"/>
                <w:sz w:val="18"/>
                <w:szCs w:val="18"/>
              </w:rPr>
              <w:t>selection</w:t>
            </w:r>
            <w:r w:rsidRPr="00485ACE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of the following themes in the light of Covid-19, following the headlines and points outlined more fully in the </w:t>
            </w:r>
            <w:r w:rsidRPr="00485ACE">
              <w:rPr>
                <w:rFonts w:cs="Arial"/>
                <w:i/>
                <w:sz w:val="18"/>
                <w:szCs w:val="18"/>
              </w:rPr>
              <w:t xml:space="preserve"> </w:t>
            </w:r>
            <w:hyperlink r:id="rId12" w:history="1">
              <w:r w:rsidRPr="00485ACE">
                <w:rPr>
                  <w:rStyle w:val="Hyperlink"/>
                  <w:rFonts w:cs="Arial"/>
                  <w:i/>
                  <w:color w:val="7D921D"/>
                  <w:sz w:val="18"/>
                  <w:szCs w:val="18"/>
                </w:rPr>
                <w:t>A roadmap for continuing of strategic governance in 2020-21</w:t>
              </w:r>
            </w:hyperlink>
            <w:r w:rsidRPr="00485ACE">
              <w:rPr>
                <w:rFonts w:cs="Arial"/>
                <w:i/>
                <w:color w:val="4A4A4A"/>
                <w:sz w:val="18"/>
                <w:szCs w:val="18"/>
                <w:shd w:val="clear" w:color="auto" w:fill="FFFFFF"/>
              </w:rPr>
              <w:t xml:space="preserve"> – (updated </w:t>
            </w:r>
            <w:r>
              <w:rPr>
                <w:rFonts w:cs="Arial"/>
                <w:i/>
                <w:color w:val="4A4A4A"/>
                <w:sz w:val="18"/>
                <w:szCs w:val="18"/>
                <w:shd w:val="clear" w:color="auto" w:fill="FFFFFF"/>
              </w:rPr>
              <w:t>January 2021</w:t>
            </w:r>
            <w:r w:rsidRPr="00485ACE">
              <w:rPr>
                <w:rFonts w:cs="Arial"/>
                <w:i/>
                <w:color w:val="4A4A4A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850" w:type="dxa"/>
          </w:tcPr>
          <w:p w:rsidR="00FB75E2" w:rsidRPr="00DE7719" w:rsidRDefault="00FB75E2" w:rsidP="00C101D9">
            <w:pPr>
              <w:pStyle w:val="textregular"/>
              <w:ind w:left="17"/>
              <w:rPr>
                <w:rFonts w:cs="Arial"/>
                <w:noProof w:val="0"/>
                <w:sz w:val="16"/>
                <w:szCs w:val="16"/>
              </w:rPr>
            </w:pPr>
            <w:r>
              <w:rPr>
                <w:rFonts w:cs="Arial"/>
                <w:noProof w:val="0"/>
                <w:sz w:val="16"/>
                <w:szCs w:val="16"/>
              </w:rPr>
              <w:t>To report / discuss</w:t>
            </w:r>
          </w:p>
        </w:tc>
        <w:tc>
          <w:tcPr>
            <w:tcW w:w="851" w:type="dxa"/>
          </w:tcPr>
          <w:p w:rsidR="00FB75E2" w:rsidRPr="00DE7719" w:rsidRDefault="00FB75E2" w:rsidP="00DE7719">
            <w:pPr>
              <w:pStyle w:val="textregular"/>
              <w:ind w:left="17"/>
              <w:rPr>
                <w:rFonts w:cs="Arial"/>
                <w:noProof w:val="0"/>
                <w:sz w:val="16"/>
                <w:szCs w:val="16"/>
              </w:rPr>
            </w:pPr>
            <w:proofErr w:type="spellStart"/>
            <w:r>
              <w:rPr>
                <w:rFonts w:cs="Arial"/>
                <w:noProof w:val="0"/>
                <w:sz w:val="16"/>
                <w:szCs w:val="16"/>
              </w:rPr>
              <w:t>Headteacher</w:t>
            </w:r>
            <w:proofErr w:type="spellEnd"/>
            <w:r>
              <w:rPr>
                <w:rFonts w:cs="Arial"/>
                <w:noProof w:val="0"/>
                <w:sz w:val="16"/>
                <w:szCs w:val="16"/>
              </w:rPr>
              <w:t xml:space="preserve"> / All</w:t>
            </w:r>
          </w:p>
        </w:tc>
        <w:tc>
          <w:tcPr>
            <w:tcW w:w="708" w:type="dxa"/>
          </w:tcPr>
          <w:p w:rsidR="00FB75E2" w:rsidRPr="00F96941" w:rsidRDefault="00FB75E2" w:rsidP="00F96941">
            <w:pPr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FB75E2" w:rsidRPr="00D33CCF" w:rsidTr="00FB75E2">
        <w:tc>
          <w:tcPr>
            <w:tcW w:w="708" w:type="dxa"/>
          </w:tcPr>
          <w:p w:rsidR="00FB75E2" w:rsidRPr="00DE7719" w:rsidRDefault="00FB75E2" w:rsidP="009421C2">
            <w:pPr>
              <w:pStyle w:val="textregular"/>
              <w:numPr>
                <w:ilvl w:val="0"/>
                <w:numId w:val="12"/>
              </w:numPr>
              <w:jc w:val="center"/>
              <w:rPr>
                <w:rFonts w:cs="Arial"/>
                <w:b/>
                <w:noProof w:val="0"/>
                <w:sz w:val="20"/>
              </w:rPr>
            </w:pPr>
          </w:p>
        </w:tc>
        <w:tc>
          <w:tcPr>
            <w:tcW w:w="7084" w:type="dxa"/>
          </w:tcPr>
          <w:p w:rsidR="00FB75E2" w:rsidRDefault="00FB75E2" w:rsidP="00DE7719">
            <w:pPr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iCs/>
                <w:color w:val="000000"/>
                <w:sz w:val="20"/>
                <w:szCs w:val="20"/>
              </w:rPr>
              <w:t>Strategic focus points</w:t>
            </w:r>
          </w:p>
          <w:p w:rsidR="00FB75E2" w:rsidRPr="00975450" w:rsidRDefault="00FB75E2" w:rsidP="009421C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i/>
                <w:iCs/>
                <w:color w:val="C00000"/>
                <w:sz w:val="20"/>
                <w:szCs w:val="20"/>
              </w:rPr>
            </w:pPr>
            <w:r w:rsidRPr="00975450">
              <w:rPr>
                <w:rFonts w:ascii="Arial" w:hAnsi="Arial" w:cs="Arial"/>
                <w:bCs/>
                <w:i/>
                <w:iCs/>
                <w:color w:val="C00000"/>
                <w:sz w:val="20"/>
                <w:szCs w:val="20"/>
              </w:rPr>
              <w:t>How do the lessons learned from the 2020 experience of governing during the Covid-19 pandemic shape our strategic governance? </w:t>
            </w:r>
          </w:p>
          <w:p w:rsidR="00FB75E2" w:rsidRPr="00975450" w:rsidRDefault="00FB75E2" w:rsidP="009421C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i/>
                <w:iCs/>
                <w:color w:val="C00000"/>
                <w:sz w:val="20"/>
                <w:szCs w:val="20"/>
              </w:rPr>
            </w:pPr>
            <w:r w:rsidRPr="00975450">
              <w:rPr>
                <w:rFonts w:ascii="Arial" w:hAnsi="Arial" w:cs="Arial"/>
                <w:bCs/>
                <w:i/>
                <w:iCs/>
                <w:color w:val="C00000"/>
                <w:sz w:val="20"/>
                <w:szCs w:val="20"/>
              </w:rPr>
              <w:t>How can we support senior leaders and staff to stay resilient and responsive in the face of challenges and rapid change?</w:t>
            </w:r>
          </w:p>
          <w:p w:rsidR="00FB75E2" w:rsidRPr="00975450" w:rsidRDefault="00FB75E2" w:rsidP="009421C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i/>
                <w:iCs/>
                <w:color w:val="C00000"/>
                <w:sz w:val="20"/>
                <w:szCs w:val="20"/>
              </w:rPr>
            </w:pPr>
            <w:r w:rsidRPr="00975450">
              <w:rPr>
                <w:rFonts w:ascii="Arial" w:hAnsi="Arial" w:cs="Arial"/>
                <w:bCs/>
                <w:i/>
                <w:iCs/>
                <w:color w:val="C00000"/>
                <w:sz w:val="20"/>
                <w:szCs w:val="20"/>
              </w:rPr>
              <w:t>What do we still need to incorporate in our medium and long term strategic plans, and what resources do we need to achieve our goal</w:t>
            </w:r>
          </w:p>
          <w:p w:rsidR="00FB75E2" w:rsidRPr="00975450" w:rsidRDefault="00FB75E2" w:rsidP="009421C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i/>
                <w:iCs/>
                <w:color w:val="C00000"/>
                <w:sz w:val="20"/>
                <w:szCs w:val="20"/>
              </w:rPr>
            </w:pPr>
            <w:r w:rsidRPr="00975450">
              <w:rPr>
                <w:rFonts w:ascii="Arial" w:hAnsi="Arial" w:cs="Arial"/>
                <w:bCs/>
                <w:i/>
                <w:iCs/>
                <w:color w:val="C00000"/>
                <w:sz w:val="20"/>
                <w:szCs w:val="20"/>
              </w:rPr>
              <w:t>Which pupil groups have been most impacted by schools closures and need to be a particular focus?</w:t>
            </w:r>
          </w:p>
          <w:p w:rsidR="00FB75E2" w:rsidRPr="00975450" w:rsidRDefault="00FB75E2" w:rsidP="009421C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i/>
                <w:iCs/>
                <w:color w:val="C00000"/>
                <w:sz w:val="20"/>
                <w:szCs w:val="20"/>
              </w:rPr>
            </w:pPr>
            <w:r w:rsidRPr="00975450">
              <w:rPr>
                <w:rFonts w:ascii="Arial" w:hAnsi="Arial" w:cs="Arial"/>
                <w:bCs/>
                <w:i/>
                <w:iCs/>
                <w:color w:val="C00000"/>
                <w:sz w:val="20"/>
                <w:szCs w:val="20"/>
              </w:rPr>
              <w:t>What are our plans to address leadership challenges / support the longer term strategic recovery of our school? </w:t>
            </w:r>
          </w:p>
          <w:p w:rsidR="00FB75E2" w:rsidRPr="00975450" w:rsidRDefault="00FB75E2" w:rsidP="009421C2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i/>
                <w:iCs/>
                <w:color w:val="C00000"/>
                <w:sz w:val="20"/>
                <w:szCs w:val="20"/>
              </w:rPr>
            </w:pPr>
            <w:r w:rsidRPr="00975450">
              <w:rPr>
                <w:rFonts w:ascii="Arial" w:hAnsi="Arial" w:cs="Arial"/>
                <w:bCs/>
                <w:i/>
                <w:iCs/>
                <w:color w:val="C00000"/>
                <w:sz w:val="20"/>
                <w:szCs w:val="20"/>
              </w:rPr>
              <w:lastRenderedPageBreak/>
              <w:t>How do we employ expertise to ensure the long term strategic recovery of the school?</w:t>
            </w:r>
          </w:p>
        </w:tc>
        <w:tc>
          <w:tcPr>
            <w:tcW w:w="850" w:type="dxa"/>
          </w:tcPr>
          <w:p w:rsidR="00FB75E2" w:rsidRDefault="00FB75E2" w:rsidP="00C101D9">
            <w:pPr>
              <w:pStyle w:val="textregular"/>
              <w:ind w:left="17"/>
              <w:rPr>
                <w:rFonts w:cs="Arial"/>
                <w:noProof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FB75E2" w:rsidRDefault="00FB75E2" w:rsidP="00DE7719">
            <w:pPr>
              <w:pStyle w:val="textregular"/>
              <w:ind w:left="17"/>
              <w:rPr>
                <w:rFonts w:cs="Arial"/>
                <w:noProof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FB75E2" w:rsidRPr="00F96941" w:rsidRDefault="00FB75E2" w:rsidP="00F96941">
            <w:pPr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FB75E2" w:rsidRPr="00D33CCF" w:rsidTr="00FB75E2">
        <w:tc>
          <w:tcPr>
            <w:tcW w:w="708" w:type="dxa"/>
          </w:tcPr>
          <w:p w:rsidR="00FB75E2" w:rsidRPr="00DE7719" w:rsidRDefault="00FB75E2" w:rsidP="009421C2">
            <w:pPr>
              <w:pStyle w:val="textregular"/>
              <w:numPr>
                <w:ilvl w:val="0"/>
                <w:numId w:val="12"/>
              </w:numPr>
              <w:jc w:val="center"/>
              <w:rPr>
                <w:rFonts w:cs="Arial"/>
                <w:b/>
                <w:noProof w:val="0"/>
                <w:sz w:val="20"/>
              </w:rPr>
            </w:pPr>
          </w:p>
        </w:tc>
        <w:tc>
          <w:tcPr>
            <w:tcW w:w="7084" w:type="dxa"/>
          </w:tcPr>
          <w:p w:rsidR="00FB75E2" w:rsidRDefault="00FB75E2" w:rsidP="00DE7719">
            <w:pPr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DE7719">
              <w:rPr>
                <w:rFonts w:cs="Arial"/>
                <w:b/>
                <w:i/>
                <w:iCs/>
                <w:sz w:val="20"/>
                <w:szCs w:val="20"/>
              </w:rPr>
              <w:t>Risk Assessments and Safety Procedures</w:t>
            </w:r>
            <w:r>
              <w:rPr>
                <w:rFonts w:cs="Arial"/>
                <w:b/>
                <w:i/>
                <w:iCs/>
                <w:sz w:val="20"/>
                <w:szCs w:val="20"/>
              </w:rPr>
              <w:t xml:space="preserve"> </w:t>
            </w:r>
          </w:p>
          <w:p w:rsidR="00FB75E2" w:rsidRDefault="00FB75E2" w:rsidP="009421C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>Committee Report</w:t>
            </w:r>
          </w:p>
          <w:p w:rsidR="00FB75E2" w:rsidRDefault="00FB75E2" w:rsidP="009421C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>Link Governor / visit report</w:t>
            </w:r>
          </w:p>
          <w:p w:rsidR="00FB75E2" w:rsidRDefault="00FB75E2" w:rsidP="009421C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>Discussion:</w:t>
            </w:r>
          </w:p>
          <w:p w:rsidR="00FB75E2" w:rsidRDefault="00FB75E2" w:rsidP="009421C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are we addressing and keeping under regular rigorous and robust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  review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the risk assessment process? </w:t>
            </w:r>
          </w:p>
          <w:p w:rsidR="00FB75E2" w:rsidRDefault="00FB75E2" w:rsidP="009421C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are we engaging with all staff to ensure their health risks have been assessed / concerns have been fully considered?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FB75E2" w:rsidRDefault="00FB75E2" w:rsidP="009421C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do we monitor that adaptations to our daily operations, systems and policies work well and are modified as needed to ensure robust measures that minimise/mitigate potential risks?</w:t>
            </w:r>
          </w:p>
          <w:p w:rsidR="00FB75E2" w:rsidRDefault="00FB75E2" w:rsidP="009421C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How do we advise pupils / staff on transport to school in the context of the national lockdown? </w:t>
            </w:r>
          </w:p>
          <w:p w:rsidR="00FB75E2" w:rsidRDefault="00FB75E2" w:rsidP="009421C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What are our processes when a pupil or member of staff has coronavirus symptoms or tests positive for coronavirus?</w:t>
            </w:r>
          </w:p>
          <w:p w:rsidR="00FB75E2" w:rsidRDefault="00FB75E2" w:rsidP="002F2911">
            <w:pPr>
              <w:pStyle w:val="ListParagraph"/>
              <w:rPr>
                <w:rFonts w:cs="Arial"/>
                <w:b/>
                <w:i/>
                <w:iCs/>
                <w:sz w:val="20"/>
                <w:szCs w:val="20"/>
              </w:rPr>
            </w:pPr>
          </w:p>
          <w:p w:rsidR="00975450" w:rsidRPr="00975450" w:rsidRDefault="00975450" w:rsidP="009421C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 xml:space="preserve">Governor training, </w:t>
            </w:r>
            <w:r w:rsidRPr="00FB75E2">
              <w:rPr>
                <w:rFonts w:cs="Arial"/>
                <w:i/>
                <w:iCs/>
                <w:sz w:val="20"/>
                <w:szCs w:val="20"/>
              </w:rPr>
              <w:t>(if needed/ to report</w:t>
            </w:r>
            <w:r>
              <w:rPr>
                <w:rFonts w:cs="Arial"/>
                <w:i/>
                <w:iCs/>
                <w:sz w:val="20"/>
                <w:szCs w:val="20"/>
              </w:rPr>
              <w:t>)</w:t>
            </w:r>
          </w:p>
          <w:p w:rsidR="00FB75E2" w:rsidRPr="00975450" w:rsidRDefault="00975450" w:rsidP="009421C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975450">
              <w:rPr>
                <w:rFonts w:cs="Arial"/>
                <w:b/>
                <w:i/>
                <w:iCs/>
                <w:sz w:val="20"/>
                <w:szCs w:val="20"/>
              </w:rPr>
              <w:t xml:space="preserve">Policies for ratification, </w:t>
            </w:r>
            <w:r w:rsidRPr="00975450">
              <w:rPr>
                <w:rFonts w:cs="Arial"/>
                <w:i/>
                <w:iCs/>
                <w:sz w:val="20"/>
                <w:szCs w:val="20"/>
              </w:rPr>
              <w:t>(if appropriate)</w:t>
            </w:r>
          </w:p>
        </w:tc>
        <w:tc>
          <w:tcPr>
            <w:tcW w:w="850" w:type="dxa"/>
          </w:tcPr>
          <w:p w:rsidR="00FB75E2" w:rsidRPr="00DE7719" w:rsidRDefault="00FB75E2" w:rsidP="00DE7719">
            <w:pPr>
              <w:pStyle w:val="textregular"/>
              <w:ind w:left="17"/>
              <w:rPr>
                <w:rFonts w:cs="Arial"/>
                <w:noProof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FB75E2" w:rsidRPr="00DE7719" w:rsidRDefault="00FB75E2" w:rsidP="00DE7719">
            <w:pPr>
              <w:pStyle w:val="textregular"/>
              <w:ind w:left="17"/>
              <w:rPr>
                <w:rFonts w:cs="Arial"/>
                <w:noProof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FB75E2" w:rsidRPr="00D33CCF" w:rsidRDefault="00FB75E2" w:rsidP="00DD6236">
            <w:pPr>
              <w:spacing w:line="276" w:lineRule="auto"/>
              <w:rPr>
                <w:rFonts w:cs="Arial"/>
                <w:i/>
                <w:color w:val="31849B" w:themeColor="accent5" w:themeShade="BF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 </w:t>
            </w:r>
          </w:p>
          <w:p w:rsidR="00FB75E2" w:rsidRPr="00D33CCF" w:rsidRDefault="00FB75E2" w:rsidP="00DE7719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urrent January 2021 Hackney guidelines </w:t>
            </w:r>
            <w:hyperlink r:id="rId13" w:history="1">
              <w:r w:rsidRPr="002F2911">
                <w:rPr>
                  <w:rStyle w:val="Hyperlink"/>
                  <w:rFonts w:cs="Arial"/>
                  <w:color w:val="000000"/>
                  <w:sz w:val="20"/>
                  <w:szCs w:val="20"/>
                </w:rPr>
                <w:t>here</w:t>
              </w:r>
            </w:hyperlink>
          </w:p>
        </w:tc>
      </w:tr>
      <w:tr w:rsidR="00FB75E2" w:rsidRPr="00D33CCF" w:rsidTr="00FB75E2">
        <w:tc>
          <w:tcPr>
            <w:tcW w:w="708" w:type="dxa"/>
          </w:tcPr>
          <w:p w:rsidR="00FB75E2" w:rsidRPr="00DE7719" w:rsidRDefault="00FB75E2" w:rsidP="009421C2">
            <w:pPr>
              <w:pStyle w:val="textregular"/>
              <w:numPr>
                <w:ilvl w:val="0"/>
                <w:numId w:val="12"/>
              </w:numPr>
              <w:ind w:left="357" w:hanging="357"/>
              <w:jc w:val="center"/>
              <w:rPr>
                <w:rFonts w:cs="Arial"/>
                <w:b/>
                <w:noProof w:val="0"/>
                <w:sz w:val="20"/>
              </w:rPr>
            </w:pPr>
          </w:p>
        </w:tc>
        <w:tc>
          <w:tcPr>
            <w:tcW w:w="7084" w:type="dxa"/>
          </w:tcPr>
          <w:p w:rsidR="00FB75E2" w:rsidRDefault="00FB75E2" w:rsidP="00DE7719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DE7719">
              <w:rPr>
                <w:rFonts w:cs="Arial"/>
                <w:b/>
                <w:iCs/>
                <w:sz w:val="20"/>
                <w:szCs w:val="20"/>
              </w:rPr>
              <w:t xml:space="preserve">Wellbeing, Mental Health, Resilience and </w:t>
            </w:r>
            <w:r>
              <w:rPr>
                <w:rFonts w:cs="Arial"/>
                <w:b/>
                <w:iCs/>
                <w:sz w:val="20"/>
                <w:szCs w:val="20"/>
              </w:rPr>
              <w:t xml:space="preserve"> Stakeholder </w:t>
            </w:r>
            <w:r w:rsidRPr="00DE7719">
              <w:rPr>
                <w:rFonts w:cs="Arial"/>
                <w:b/>
                <w:iCs/>
                <w:sz w:val="20"/>
                <w:szCs w:val="20"/>
              </w:rPr>
              <w:t>Engagement</w:t>
            </w:r>
          </w:p>
          <w:p w:rsidR="00975450" w:rsidRDefault="00975450" w:rsidP="009421C2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 xml:space="preserve">Committee Report/minutes </w:t>
            </w:r>
            <w:r w:rsidRPr="00975450">
              <w:rPr>
                <w:rFonts w:cs="Arial"/>
                <w:i/>
                <w:iCs/>
                <w:sz w:val="20"/>
                <w:szCs w:val="20"/>
              </w:rPr>
              <w:t>(if appropriate)</w:t>
            </w:r>
          </w:p>
          <w:p w:rsidR="00FB75E2" w:rsidRDefault="00FB75E2" w:rsidP="009421C2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>Link Governor / visit report</w:t>
            </w:r>
          </w:p>
          <w:p w:rsidR="00FB75E2" w:rsidRDefault="00FB75E2" w:rsidP="009421C2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>Discussion:</w:t>
            </w:r>
          </w:p>
          <w:p w:rsidR="00FB75E2" w:rsidRPr="00FB75E2" w:rsidRDefault="00FB75E2" w:rsidP="009421C2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How is our pupil wellbeing and mental health supported?</w:t>
            </w:r>
          </w:p>
          <w:p w:rsidR="00FB75E2" w:rsidRPr="00FB75E2" w:rsidRDefault="00FB75E2" w:rsidP="009421C2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How is our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Headteacher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and staff wellbeing / mental health supported in the context of long-term pressures and fluctuations?  </w:t>
            </w:r>
            <w:r>
              <w:rPr>
                <w:rFonts w:cs="Arial"/>
                <w:color w:val="FF9900"/>
                <w:sz w:val="20"/>
                <w:szCs w:val="20"/>
              </w:rPr>
              <w:t> </w:t>
            </w:r>
          </w:p>
          <w:p w:rsidR="00FB75E2" w:rsidRDefault="00FB75E2" w:rsidP="009421C2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How are we continuing to connect with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families, including those for whom English is a second language, 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what are we learning by listening to the views of pupils, parents and staff?</w:t>
            </w:r>
          </w:p>
          <w:p w:rsidR="00FB75E2" w:rsidRPr="00975450" w:rsidRDefault="00FB75E2" w:rsidP="009421C2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How are we continuing to keep </w:t>
            </w:r>
            <w:r w:rsidR="00975450">
              <w:rPr>
                <w:rFonts w:ascii="Arial" w:hAnsi="Arial" w:cs="Arial"/>
                <w:color w:val="000000"/>
                <w:sz w:val="20"/>
                <w:szCs w:val="20"/>
              </w:rPr>
              <w:t>in touch with pupils, esp.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those we regard as most vulnerable, to ensure welfare, pastoral support and learning? How are we monitoring response to any key emerging concerns? </w:t>
            </w:r>
          </w:p>
          <w:p w:rsidR="00FB75E2" w:rsidRDefault="00FB75E2" w:rsidP="00FB75E2">
            <w:pPr>
              <w:pStyle w:val="ListParagraph"/>
              <w:ind w:left="360"/>
              <w:rPr>
                <w:rFonts w:cs="Arial"/>
                <w:b/>
                <w:i/>
                <w:iCs/>
                <w:sz w:val="20"/>
                <w:szCs w:val="20"/>
              </w:rPr>
            </w:pPr>
          </w:p>
          <w:p w:rsidR="001C1661" w:rsidRPr="00975450" w:rsidRDefault="001C1661" w:rsidP="009421C2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 xml:space="preserve">Governor training, </w:t>
            </w:r>
            <w:r w:rsidRPr="00FB75E2">
              <w:rPr>
                <w:rFonts w:cs="Arial"/>
                <w:i/>
                <w:iCs/>
                <w:sz w:val="20"/>
                <w:szCs w:val="20"/>
              </w:rPr>
              <w:t>(if needed/ to report</w:t>
            </w:r>
            <w:r>
              <w:rPr>
                <w:rFonts w:cs="Arial"/>
                <w:i/>
                <w:iCs/>
                <w:sz w:val="20"/>
                <w:szCs w:val="20"/>
              </w:rPr>
              <w:t>)</w:t>
            </w:r>
          </w:p>
          <w:p w:rsidR="00FB75E2" w:rsidRPr="00975450" w:rsidRDefault="001C1661" w:rsidP="009421C2">
            <w:pPr>
              <w:pStyle w:val="ListParagraph"/>
              <w:numPr>
                <w:ilvl w:val="0"/>
                <w:numId w:val="13"/>
              </w:numPr>
              <w:rPr>
                <w:rFonts w:cs="Arial"/>
                <w:b/>
                <w:i/>
                <w:iCs/>
                <w:sz w:val="20"/>
                <w:szCs w:val="20"/>
              </w:rPr>
            </w:pPr>
            <w:r w:rsidRPr="00975450">
              <w:rPr>
                <w:rFonts w:cs="Arial"/>
                <w:b/>
                <w:i/>
                <w:iCs/>
                <w:sz w:val="20"/>
                <w:szCs w:val="20"/>
              </w:rPr>
              <w:t xml:space="preserve">Policies for ratification, </w:t>
            </w:r>
            <w:r w:rsidRPr="00975450">
              <w:rPr>
                <w:rFonts w:cs="Arial"/>
                <w:i/>
                <w:iCs/>
                <w:sz w:val="20"/>
                <w:szCs w:val="20"/>
              </w:rPr>
              <w:t>(if appropriate)</w:t>
            </w:r>
          </w:p>
        </w:tc>
        <w:tc>
          <w:tcPr>
            <w:tcW w:w="850" w:type="dxa"/>
          </w:tcPr>
          <w:p w:rsidR="00FB75E2" w:rsidRPr="00DE7719" w:rsidRDefault="00FB75E2" w:rsidP="00DE7719">
            <w:pPr>
              <w:spacing w:after="160" w:line="254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75E2" w:rsidRPr="00DE7719" w:rsidRDefault="00FB75E2" w:rsidP="00DE7719">
            <w:pPr>
              <w:pStyle w:val="textregular"/>
              <w:ind w:left="17"/>
              <w:rPr>
                <w:rFonts w:cs="Arial"/>
                <w:noProof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FB75E2" w:rsidRPr="00D33CCF" w:rsidRDefault="00FB75E2" w:rsidP="00975450">
            <w:pPr>
              <w:pStyle w:val="textregular"/>
              <w:rPr>
                <w:rFonts w:cs="Arial"/>
                <w:noProof w:val="0"/>
                <w:sz w:val="18"/>
                <w:szCs w:val="18"/>
              </w:rPr>
            </w:pPr>
          </w:p>
        </w:tc>
      </w:tr>
      <w:tr w:rsidR="00FB75E2" w:rsidRPr="00D33CCF" w:rsidTr="00FB75E2">
        <w:tc>
          <w:tcPr>
            <w:tcW w:w="708" w:type="dxa"/>
          </w:tcPr>
          <w:p w:rsidR="00FB75E2" w:rsidRPr="00DE7719" w:rsidRDefault="00FB75E2" w:rsidP="009421C2">
            <w:pPr>
              <w:pStyle w:val="textregular"/>
              <w:numPr>
                <w:ilvl w:val="0"/>
                <w:numId w:val="12"/>
              </w:numPr>
              <w:ind w:left="357" w:hanging="357"/>
              <w:jc w:val="center"/>
              <w:rPr>
                <w:rFonts w:cs="Arial"/>
                <w:b/>
                <w:noProof w:val="0"/>
                <w:sz w:val="20"/>
              </w:rPr>
            </w:pPr>
          </w:p>
        </w:tc>
        <w:tc>
          <w:tcPr>
            <w:tcW w:w="7084" w:type="dxa"/>
          </w:tcPr>
          <w:p w:rsidR="00FB75E2" w:rsidRDefault="00FB75E2" w:rsidP="00DE7719">
            <w:pPr>
              <w:rPr>
                <w:rFonts w:cs="Arial"/>
                <w:b/>
                <w:bCs/>
                <w:iCs/>
                <w:sz w:val="20"/>
                <w:szCs w:val="20"/>
              </w:rPr>
            </w:pPr>
            <w:r w:rsidRPr="00DE7719">
              <w:rPr>
                <w:rFonts w:cs="Arial"/>
                <w:b/>
                <w:bCs/>
                <w:iCs/>
                <w:sz w:val="20"/>
                <w:szCs w:val="20"/>
              </w:rPr>
              <w:t>Quality of Education - curriculum, assessment and gaps in learning</w:t>
            </w:r>
          </w:p>
          <w:p w:rsidR="00FB75E2" w:rsidRDefault="00FB75E2" w:rsidP="009421C2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>Committee Report</w:t>
            </w:r>
            <w:r w:rsidR="00975450">
              <w:rPr>
                <w:rFonts w:cs="Arial"/>
                <w:b/>
                <w:i/>
                <w:iCs/>
                <w:sz w:val="20"/>
                <w:szCs w:val="20"/>
              </w:rPr>
              <w:t xml:space="preserve">/minutes </w:t>
            </w:r>
            <w:r w:rsidR="00975450" w:rsidRPr="00975450">
              <w:rPr>
                <w:rFonts w:cs="Arial"/>
                <w:i/>
                <w:iCs/>
                <w:sz w:val="20"/>
                <w:szCs w:val="20"/>
              </w:rPr>
              <w:t>(if appropriate)</w:t>
            </w:r>
          </w:p>
          <w:p w:rsidR="00FB75E2" w:rsidRDefault="00FB75E2" w:rsidP="009421C2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>Link Governor / visit report</w:t>
            </w:r>
          </w:p>
          <w:p w:rsidR="00FB75E2" w:rsidRDefault="00FB75E2" w:rsidP="009421C2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>Discussion:</w:t>
            </w:r>
          </w:p>
          <w:p w:rsidR="00FB75E2" w:rsidRDefault="00FB75E2" w:rsidP="009421C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How do we ensure continuity of quality of learning experiences during the pandemic, in school and/or through remote learning? </w:t>
            </w:r>
            <w:r w:rsidRPr="002F2911"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(How is this communicated </w:t>
            </w:r>
            <w:r>
              <w:rPr>
                <w:rFonts w:ascii="Arial" w:hAnsi="Arial" w:cs="Arial"/>
                <w:color w:val="F79646" w:themeColor="accent6"/>
                <w:sz w:val="20"/>
                <w:szCs w:val="20"/>
              </w:rPr>
              <w:t xml:space="preserve">in a policy / </w:t>
            </w:r>
            <w:r w:rsidRPr="002F2911">
              <w:rPr>
                <w:rFonts w:ascii="Arial" w:hAnsi="Arial" w:cs="Arial"/>
                <w:color w:val="F79646" w:themeColor="accent6"/>
                <w:sz w:val="20"/>
                <w:szCs w:val="20"/>
              </w:rPr>
              <w:t>on our website?)</w:t>
            </w:r>
          </w:p>
          <w:p w:rsidR="00FB75E2" w:rsidRDefault="00FB75E2" w:rsidP="009421C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pastoral provision and activities have been implemented to ensure pupils are integrated and engaged in learning, and maintain social connections whether learning from home or from a school setting?</w:t>
            </w:r>
          </w:p>
          <w:p w:rsidR="00FB75E2" w:rsidRDefault="00FB75E2" w:rsidP="009421C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do we particularly support vulnerable /SEND pupils to ensure their continuous quality of learning?</w:t>
            </w:r>
          </w:p>
          <w:p w:rsidR="00FB75E2" w:rsidRDefault="00FB75E2" w:rsidP="009421C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do we continue to address significant safeguarding matters, is our policy sufficiently meeting current need?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FB75E2" w:rsidRDefault="00FB75E2" w:rsidP="009421C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 our children have access to / access</w:t>
            </w:r>
            <w:r w:rsidR="00975450">
              <w:rPr>
                <w:rFonts w:ascii="Arial" w:hAnsi="Arial" w:cs="Arial"/>
                <w:color w:val="000000"/>
                <w:sz w:val="20"/>
                <w:szCs w:val="20"/>
              </w:rPr>
              <w:t xml:space="preserve"> support through wider services?</w:t>
            </w:r>
          </w:p>
          <w:p w:rsidR="00FB75E2" w:rsidRDefault="00FB75E2" w:rsidP="009421C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How do we make effective use of technology and online resources to ensure continuity of education?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How do we measure effectiveness?</w:t>
            </w:r>
          </w:p>
          <w:p w:rsidR="00FB75E2" w:rsidRDefault="00FB75E2" w:rsidP="009421C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How do we ensure all children have access to technology and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 support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those children who are at digital disadvantage? </w:t>
            </w:r>
          </w:p>
          <w:p w:rsidR="00FB75E2" w:rsidRDefault="00FB75E2" w:rsidP="009421C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What scenarios are we planning to establish/optimise blended school and home/online learning and ensure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continuity and flexibility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FB75E2" w:rsidRDefault="00FB75E2" w:rsidP="009421C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What can we learn from the exam grading and outcomes, what issues might our school need to address, what are the plans for next year?</w:t>
            </w:r>
          </w:p>
          <w:p w:rsidR="00FB75E2" w:rsidRDefault="00FB75E2" w:rsidP="009421C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are our plans to support new children joining our school, particularly for vulnerable/SEND pupils? </w:t>
            </w:r>
          </w:p>
          <w:p w:rsidR="00FB75E2" w:rsidRDefault="00FB75E2" w:rsidP="009421C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are our plans to deliver high quality learning experiences that address curriculum recovery and learning gaps? </w:t>
            </w:r>
          </w:p>
          <w:p w:rsidR="00FB75E2" w:rsidRDefault="00FB75E2" w:rsidP="009421C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additional support and training will staff need to implement safe practices, blended models of learning, including effective and safe use of technology?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9900"/>
                <w:sz w:val="20"/>
                <w:szCs w:val="20"/>
              </w:rPr>
              <w:t> </w:t>
            </w:r>
          </w:p>
          <w:p w:rsidR="00FB75E2" w:rsidRDefault="00FB75E2" w:rsidP="009421C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do we ensure time is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  allocated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/utilised for continuity of professional development?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How are new staff being recruited and inducted?  </w:t>
            </w:r>
          </w:p>
          <w:p w:rsidR="00FB75E2" w:rsidRDefault="00FB75E2" w:rsidP="002F2911">
            <w:pPr>
              <w:pStyle w:val="ListParagraph"/>
              <w:ind w:left="360"/>
              <w:rPr>
                <w:rFonts w:cs="Arial"/>
                <w:b/>
                <w:i/>
                <w:iCs/>
                <w:sz w:val="20"/>
                <w:szCs w:val="20"/>
              </w:rPr>
            </w:pPr>
          </w:p>
          <w:p w:rsidR="00FB75E2" w:rsidRDefault="00FB75E2" w:rsidP="009421C2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 xml:space="preserve">Governor training </w:t>
            </w:r>
            <w:r w:rsidR="00975450" w:rsidRPr="00975450">
              <w:rPr>
                <w:rFonts w:cs="Arial"/>
                <w:i/>
                <w:iCs/>
                <w:sz w:val="20"/>
                <w:szCs w:val="20"/>
              </w:rPr>
              <w:t xml:space="preserve">(if </w:t>
            </w:r>
            <w:r w:rsidRPr="00975450">
              <w:rPr>
                <w:rFonts w:cs="Arial"/>
                <w:i/>
                <w:iCs/>
                <w:sz w:val="20"/>
                <w:szCs w:val="20"/>
              </w:rPr>
              <w:t>needed</w:t>
            </w:r>
            <w:r w:rsidR="00975450" w:rsidRPr="00975450">
              <w:rPr>
                <w:rFonts w:cs="Arial"/>
                <w:i/>
                <w:iCs/>
                <w:sz w:val="20"/>
                <w:szCs w:val="20"/>
              </w:rPr>
              <w:t>/to report)</w:t>
            </w:r>
          </w:p>
          <w:p w:rsidR="00FB75E2" w:rsidRDefault="00975450" w:rsidP="009421C2">
            <w:pPr>
              <w:pStyle w:val="ListParagraph"/>
              <w:numPr>
                <w:ilvl w:val="0"/>
                <w:numId w:val="9"/>
              </w:numPr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 xml:space="preserve">Policies for ratification </w:t>
            </w:r>
            <w:r w:rsidRPr="00975450">
              <w:rPr>
                <w:rFonts w:cs="Arial"/>
                <w:i/>
                <w:iCs/>
                <w:sz w:val="20"/>
                <w:szCs w:val="20"/>
              </w:rPr>
              <w:t>(</w:t>
            </w:r>
            <w:r w:rsidR="00FB75E2" w:rsidRPr="00975450">
              <w:rPr>
                <w:rFonts w:cs="Arial"/>
                <w:i/>
                <w:iCs/>
                <w:sz w:val="20"/>
                <w:szCs w:val="20"/>
              </w:rPr>
              <w:t>if appropriate</w:t>
            </w:r>
            <w:r w:rsidRPr="00975450">
              <w:rPr>
                <w:rFonts w:cs="Arial"/>
                <w:i/>
                <w:iCs/>
                <w:sz w:val="20"/>
                <w:szCs w:val="20"/>
              </w:rPr>
              <w:t>)</w:t>
            </w:r>
          </w:p>
          <w:p w:rsidR="00FB75E2" w:rsidRPr="00975450" w:rsidRDefault="00FB75E2" w:rsidP="009421C2">
            <w:pPr>
              <w:pStyle w:val="ListParagraph"/>
              <w:numPr>
                <w:ilvl w:val="1"/>
                <w:numId w:val="9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FB75E2">
              <w:rPr>
                <w:rFonts w:cs="Arial"/>
                <w:i/>
                <w:iCs/>
                <w:sz w:val="20"/>
                <w:szCs w:val="20"/>
              </w:rPr>
              <w:t xml:space="preserve">Remote Learning Policy </w:t>
            </w:r>
          </w:p>
        </w:tc>
        <w:tc>
          <w:tcPr>
            <w:tcW w:w="850" w:type="dxa"/>
          </w:tcPr>
          <w:p w:rsidR="00FB75E2" w:rsidRPr="00DE7719" w:rsidRDefault="00FB75E2" w:rsidP="00DE771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  <w:p w:rsidR="00FB75E2" w:rsidRPr="00DE7719" w:rsidRDefault="00FB75E2" w:rsidP="00DE7719">
            <w:pPr>
              <w:pStyle w:val="textregular"/>
              <w:rPr>
                <w:rFonts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FB75E2" w:rsidRPr="00DE7719" w:rsidRDefault="00FB75E2" w:rsidP="00DE7719">
            <w:pPr>
              <w:pStyle w:val="textregular"/>
              <w:rPr>
                <w:rFonts w:cs="Arial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</w:p>
          <w:p w:rsidR="00FB75E2" w:rsidRPr="00DE7719" w:rsidRDefault="00FB75E2" w:rsidP="00DE7719">
            <w:pPr>
              <w:pStyle w:val="textregular"/>
              <w:rPr>
                <w:rFonts w:eastAsia="Calibri" w:cs="Arial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:rsidR="00FB75E2" w:rsidRPr="00DE7719" w:rsidRDefault="00FB75E2" w:rsidP="00DE7719">
            <w:pPr>
              <w:pStyle w:val="textregular"/>
              <w:rPr>
                <w:rFonts w:eastAsia="Calibri" w:cs="Arial"/>
                <w:i/>
                <w:color w:val="FF0000"/>
                <w:sz w:val="16"/>
                <w:szCs w:val="16"/>
                <w:shd w:val="clear" w:color="auto" w:fill="FFFFFF"/>
              </w:rPr>
            </w:pPr>
          </w:p>
          <w:p w:rsidR="00FB75E2" w:rsidRPr="00DE7719" w:rsidRDefault="00FB75E2" w:rsidP="00DE7719">
            <w:pPr>
              <w:pStyle w:val="textregular"/>
              <w:rPr>
                <w:rFonts w:eastAsia="Calibri" w:cs="Arial"/>
                <w:i/>
                <w:color w:val="000000"/>
                <w:sz w:val="16"/>
                <w:szCs w:val="16"/>
                <w:shd w:val="clear" w:color="auto" w:fill="FFFFFF"/>
              </w:rPr>
            </w:pPr>
          </w:p>
          <w:p w:rsidR="00FB75E2" w:rsidRPr="00DE7719" w:rsidRDefault="00FB75E2" w:rsidP="00DE7719">
            <w:pPr>
              <w:spacing w:after="160" w:line="252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FB75E2" w:rsidRPr="00DE7719" w:rsidRDefault="00FB75E2" w:rsidP="00DE7719">
            <w:pPr>
              <w:pStyle w:val="textregular"/>
              <w:ind w:left="17"/>
              <w:rPr>
                <w:rFonts w:cs="Arial"/>
                <w:noProof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FB75E2" w:rsidRPr="00D33CCF" w:rsidRDefault="00FB75E2" w:rsidP="00DE7719">
            <w:pPr>
              <w:pStyle w:val="textregular"/>
              <w:ind w:left="17"/>
              <w:rPr>
                <w:rFonts w:cs="Arial"/>
                <w:noProof w:val="0"/>
                <w:sz w:val="18"/>
                <w:szCs w:val="18"/>
              </w:rPr>
            </w:pPr>
            <w:r>
              <w:rPr>
                <w:rFonts w:cs="Arial"/>
                <w:color w:val="000000"/>
                <w:sz w:val="20"/>
                <w:shd w:val="clear" w:color="auto" w:fill="FFFFFF"/>
              </w:rPr>
              <w:t>S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ee DfE January 2021 support </w:t>
            </w:r>
            <w:hyperlink r:id="rId14" w:history="1">
              <w:r>
                <w:rPr>
                  <w:rStyle w:val="Hyperlink"/>
                  <w:rFonts w:cs="Arial"/>
                  <w:color w:val="000000"/>
                  <w:sz w:val="20"/>
                  <w:shd w:val="clear" w:color="auto" w:fill="FFFFFF"/>
                </w:rPr>
                <w:t>here</w:t>
              </w:r>
            </w:hyperlink>
          </w:p>
        </w:tc>
      </w:tr>
      <w:tr w:rsidR="001C1661" w:rsidRPr="00D33CCF" w:rsidTr="00FB75E2">
        <w:tc>
          <w:tcPr>
            <w:tcW w:w="708" w:type="dxa"/>
          </w:tcPr>
          <w:p w:rsidR="001C1661" w:rsidRPr="00DE7719" w:rsidRDefault="001C1661" w:rsidP="009421C2">
            <w:pPr>
              <w:pStyle w:val="textregular"/>
              <w:numPr>
                <w:ilvl w:val="0"/>
                <w:numId w:val="12"/>
              </w:numPr>
              <w:ind w:left="357" w:hanging="357"/>
              <w:jc w:val="center"/>
              <w:rPr>
                <w:rFonts w:cs="Arial"/>
                <w:b/>
                <w:noProof w:val="0"/>
                <w:sz w:val="20"/>
              </w:rPr>
            </w:pPr>
          </w:p>
        </w:tc>
        <w:tc>
          <w:tcPr>
            <w:tcW w:w="7084" w:type="dxa"/>
          </w:tcPr>
          <w:p w:rsidR="001C1661" w:rsidRDefault="001C1661" w:rsidP="001C1661">
            <w:pPr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DE7719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Staffing</w:t>
            </w:r>
          </w:p>
          <w:p w:rsidR="001C1661" w:rsidRPr="00485ACE" w:rsidRDefault="001C1661" w:rsidP="001C1661">
            <w:pPr>
              <w:rPr>
                <w:rFonts w:cs="Arial"/>
                <w:b/>
                <w:i/>
                <w:iCs/>
                <w:sz w:val="20"/>
                <w:szCs w:val="20"/>
              </w:rPr>
            </w:pPr>
          </w:p>
          <w:p w:rsidR="001C1661" w:rsidRDefault="001C1661" w:rsidP="009421C2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>Committee Report</w:t>
            </w:r>
            <w:r>
              <w:rPr>
                <w:rFonts w:cs="Arial"/>
                <w:b/>
                <w:i/>
                <w:iCs/>
                <w:sz w:val="20"/>
                <w:szCs w:val="20"/>
              </w:rPr>
              <w:t xml:space="preserve">/minutes </w:t>
            </w:r>
            <w:r w:rsidRPr="00FB75E2">
              <w:rPr>
                <w:rFonts w:cs="Arial"/>
                <w:i/>
                <w:iCs/>
                <w:sz w:val="20"/>
                <w:szCs w:val="20"/>
              </w:rPr>
              <w:t>(if appropriate</w:t>
            </w:r>
            <w:r>
              <w:rPr>
                <w:rFonts w:cs="Arial"/>
                <w:i/>
                <w:iCs/>
                <w:sz w:val="20"/>
                <w:szCs w:val="20"/>
              </w:rPr>
              <w:t>)</w:t>
            </w:r>
          </w:p>
          <w:p w:rsidR="001C1661" w:rsidRDefault="001C1661" w:rsidP="009421C2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>Link Governor / visit report</w:t>
            </w:r>
          </w:p>
          <w:p w:rsidR="001C1661" w:rsidRDefault="001C1661" w:rsidP="009421C2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>Discussion:</w:t>
            </w:r>
          </w:p>
          <w:p w:rsidR="001C1661" w:rsidRDefault="001C1661" w:rsidP="009421C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often and robustly are we reviewing the risk assessments and implementing measures to ensure the wellbeing of all staff, particularly those who are shielding / vulnerable? </w:t>
            </w:r>
          </w:p>
          <w:p w:rsidR="001C1661" w:rsidRDefault="001C1661" w:rsidP="009421C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are we listening to our staff about their anxieties and concerns? How do we engage with them, and professional bodies/ Trade unions, and prevent / mediate potential issues?</w:t>
            </w:r>
          </w:p>
          <w:p w:rsidR="001C1661" w:rsidRDefault="001C1661" w:rsidP="009421C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How effectively does the school ensure a balanced workload, especially in the context of deploying staff to protect clinically vulnerable people (following Tier 4 recommendations), and staff shortages due to the pandemic? </w:t>
            </w:r>
          </w:p>
          <w:p w:rsidR="001C1661" w:rsidRDefault="001C1661" w:rsidP="009421C2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>Governor training</w:t>
            </w:r>
            <w:r>
              <w:rPr>
                <w:rFonts w:cs="Arial"/>
                <w:b/>
                <w:i/>
                <w:iCs/>
                <w:sz w:val="20"/>
                <w:szCs w:val="20"/>
              </w:rPr>
              <w:t xml:space="preserve">, </w:t>
            </w:r>
            <w:r w:rsidRPr="00FB75E2">
              <w:rPr>
                <w:rFonts w:cs="Arial"/>
                <w:i/>
                <w:iCs/>
                <w:sz w:val="20"/>
                <w:szCs w:val="20"/>
              </w:rPr>
              <w:t>(if needed/ to report</w:t>
            </w:r>
            <w:r>
              <w:rPr>
                <w:rFonts w:cs="Arial"/>
                <w:i/>
                <w:iCs/>
                <w:sz w:val="20"/>
                <w:szCs w:val="20"/>
              </w:rPr>
              <w:t>)</w:t>
            </w:r>
          </w:p>
          <w:p w:rsidR="001C1661" w:rsidRPr="002F2911" w:rsidRDefault="001C1661" w:rsidP="009421C2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 xml:space="preserve">Policies for ratification, </w:t>
            </w:r>
            <w:r w:rsidRPr="00FB75E2">
              <w:rPr>
                <w:rFonts w:cs="Arial"/>
                <w:i/>
                <w:iCs/>
                <w:sz w:val="20"/>
                <w:szCs w:val="20"/>
              </w:rPr>
              <w:t>(if appropriate</w:t>
            </w:r>
            <w:r>
              <w:rPr>
                <w:rFonts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C1661" w:rsidRPr="00DE7719" w:rsidRDefault="001C1661" w:rsidP="001C166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1C1661" w:rsidRPr="00DE7719" w:rsidRDefault="001C1661" w:rsidP="001C1661">
            <w:pPr>
              <w:pStyle w:val="textregular"/>
              <w:ind w:left="17"/>
              <w:rPr>
                <w:rFonts w:cs="Arial"/>
                <w:noProof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1C1661" w:rsidRDefault="001C1661" w:rsidP="001C1661">
            <w:pPr>
              <w:pStyle w:val="textregular"/>
              <w:ind w:left="17"/>
              <w:rPr>
                <w:rFonts w:cs="Arial"/>
                <w:color w:val="000000"/>
                <w:sz w:val="20"/>
                <w:shd w:val="clear" w:color="auto" w:fill="FFFFFF"/>
              </w:rPr>
            </w:pPr>
          </w:p>
        </w:tc>
      </w:tr>
      <w:tr w:rsidR="001C1661" w:rsidRPr="00D33CCF" w:rsidTr="00FB75E2">
        <w:trPr>
          <w:trHeight w:val="368"/>
        </w:trPr>
        <w:tc>
          <w:tcPr>
            <w:tcW w:w="708" w:type="dxa"/>
          </w:tcPr>
          <w:p w:rsidR="001C1661" w:rsidRPr="00DE7719" w:rsidRDefault="001C1661" w:rsidP="001C1661">
            <w:pPr>
              <w:pStyle w:val="textregular"/>
              <w:jc w:val="center"/>
              <w:rPr>
                <w:rFonts w:cs="Arial"/>
                <w:b/>
                <w:noProof w:val="0"/>
                <w:sz w:val="20"/>
              </w:rPr>
            </w:pPr>
            <w:r>
              <w:rPr>
                <w:rFonts w:cs="Arial"/>
                <w:b/>
                <w:noProof w:val="0"/>
                <w:sz w:val="20"/>
              </w:rPr>
              <w:t>12.</w:t>
            </w:r>
          </w:p>
        </w:tc>
        <w:tc>
          <w:tcPr>
            <w:tcW w:w="7084" w:type="dxa"/>
          </w:tcPr>
          <w:p w:rsidR="001C1661" w:rsidRDefault="001C1661" w:rsidP="001C1661">
            <w:pPr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  <w:r w:rsidRPr="00DE7719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School finance and resources, including discussion of budget</w:t>
            </w:r>
          </w:p>
          <w:p w:rsidR="001C1661" w:rsidRDefault="001C1661" w:rsidP="009421C2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>Committee Report / minutes (</w:t>
            </w:r>
            <w:r w:rsidRPr="00FB75E2">
              <w:rPr>
                <w:rFonts w:cs="Arial"/>
                <w:i/>
                <w:iCs/>
                <w:sz w:val="20"/>
                <w:szCs w:val="20"/>
              </w:rPr>
              <w:t>if appropriate</w:t>
            </w:r>
            <w:r>
              <w:rPr>
                <w:rFonts w:cs="Arial"/>
                <w:i/>
                <w:iCs/>
                <w:sz w:val="20"/>
                <w:szCs w:val="20"/>
              </w:rPr>
              <w:t>)</w:t>
            </w:r>
          </w:p>
          <w:p w:rsidR="001C1661" w:rsidRDefault="001C1661" w:rsidP="009421C2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>Link Governor / visit report</w:t>
            </w:r>
          </w:p>
          <w:p w:rsidR="001C1661" w:rsidRDefault="001C1661" w:rsidP="009421C2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>Discussion:</w:t>
            </w:r>
          </w:p>
          <w:p w:rsidR="001C1661" w:rsidRDefault="001C1661" w:rsidP="009421C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are the continued costs associated with the pandemic and what is the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  impact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on our current budget?</w:t>
            </w:r>
          </w:p>
          <w:p w:rsidR="001C1661" w:rsidRDefault="001C1661" w:rsidP="009421C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additional financial support do we expect to receive?</w:t>
            </w:r>
          </w:p>
          <w:p w:rsidR="001C1661" w:rsidRDefault="001C1661" w:rsidP="009421C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are we preparing a curriculum led financial plan and setting a budget for 2021/22, robustly integrating our strategic goals?</w:t>
            </w:r>
            <w:r>
              <w:rPr>
                <w:rFonts w:ascii="Arial" w:hAnsi="Arial" w:cs="Arial"/>
                <w:color w:val="FF9900"/>
                <w:sz w:val="20"/>
                <w:szCs w:val="20"/>
              </w:rPr>
              <w:t xml:space="preserve"> </w:t>
            </w:r>
          </w:p>
          <w:p w:rsidR="001C1661" w:rsidRDefault="001C1661" w:rsidP="009421C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are the changes to our longer term budget and to our forecast moving forward?</w:t>
            </w:r>
          </w:p>
          <w:p w:rsidR="001C1661" w:rsidRDefault="001C1661" w:rsidP="009421C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Budget approval </w:t>
            </w:r>
            <w:r>
              <w:rPr>
                <w:rFonts w:ascii="Arial" w:hAnsi="Arial" w:cs="Arial"/>
                <w:color w:val="FF9900"/>
                <w:sz w:val="20"/>
                <w:szCs w:val="20"/>
              </w:rPr>
              <w:t>(Hackney deadline for budget submission 1/05/2021)</w:t>
            </w:r>
          </w:p>
          <w:p w:rsidR="001C1661" w:rsidRDefault="001C1661" w:rsidP="001C1661">
            <w:pPr>
              <w:pStyle w:val="ListParagraph"/>
              <w:ind w:left="360"/>
              <w:rPr>
                <w:rFonts w:cs="Arial"/>
                <w:b/>
                <w:i/>
                <w:iCs/>
                <w:sz w:val="20"/>
                <w:szCs w:val="20"/>
              </w:rPr>
            </w:pPr>
          </w:p>
          <w:p w:rsidR="001C1661" w:rsidRPr="00FB75E2" w:rsidRDefault="001C1661" w:rsidP="009421C2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 xml:space="preserve">Governor training, </w:t>
            </w:r>
            <w:r w:rsidRPr="00FB75E2">
              <w:rPr>
                <w:rFonts w:cs="Arial"/>
                <w:i/>
                <w:iCs/>
                <w:sz w:val="20"/>
                <w:szCs w:val="20"/>
              </w:rPr>
              <w:t>(if needed/ to report</w:t>
            </w:r>
            <w:r>
              <w:rPr>
                <w:rFonts w:cs="Arial"/>
                <w:i/>
                <w:iCs/>
                <w:sz w:val="20"/>
                <w:szCs w:val="20"/>
              </w:rPr>
              <w:t>)</w:t>
            </w:r>
          </w:p>
          <w:p w:rsidR="001C1661" w:rsidRPr="002F2911" w:rsidRDefault="001C1661" w:rsidP="009421C2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i/>
                <w:iCs/>
                <w:sz w:val="20"/>
                <w:szCs w:val="20"/>
              </w:rPr>
              <w:t xml:space="preserve">Policies for ratification, </w:t>
            </w:r>
            <w:r w:rsidRPr="00FB75E2">
              <w:rPr>
                <w:rFonts w:cs="Arial"/>
                <w:i/>
                <w:iCs/>
                <w:sz w:val="20"/>
                <w:szCs w:val="20"/>
              </w:rPr>
              <w:t>(if appropriate</w:t>
            </w:r>
            <w:r>
              <w:rPr>
                <w:rFonts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C1661" w:rsidRPr="00DE7719" w:rsidRDefault="001C1661" w:rsidP="001C1661">
            <w:pPr>
              <w:rPr>
                <w:rFonts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C1661" w:rsidRPr="00DE7719" w:rsidRDefault="001C1661" w:rsidP="001C1661">
            <w:pPr>
              <w:pStyle w:val="textregular"/>
              <w:ind w:left="17"/>
              <w:rPr>
                <w:rFonts w:cs="Arial"/>
                <w:noProof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1C1661" w:rsidRPr="00D33CCF" w:rsidRDefault="001C1661" w:rsidP="001C1661">
            <w:pPr>
              <w:pStyle w:val="textregular"/>
              <w:ind w:left="17"/>
              <w:rPr>
                <w:rFonts w:cs="Arial"/>
                <w:noProof w:val="0"/>
                <w:sz w:val="18"/>
                <w:szCs w:val="18"/>
              </w:rPr>
            </w:pPr>
          </w:p>
        </w:tc>
      </w:tr>
      <w:tr w:rsidR="001C1661" w:rsidRPr="00D33CCF" w:rsidTr="00FB75E2">
        <w:tc>
          <w:tcPr>
            <w:tcW w:w="708" w:type="dxa"/>
          </w:tcPr>
          <w:p w:rsidR="001C1661" w:rsidRPr="00DE7719" w:rsidRDefault="001C1661" w:rsidP="001C1661">
            <w:pPr>
              <w:pStyle w:val="textregular"/>
              <w:jc w:val="center"/>
              <w:rPr>
                <w:rFonts w:cs="Arial"/>
                <w:b/>
                <w:noProof w:val="0"/>
                <w:sz w:val="20"/>
              </w:rPr>
            </w:pPr>
            <w:r>
              <w:rPr>
                <w:rFonts w:cs="Arial"/>
                <w:b/>
                <w:noProof w:val="0"/>
                <w:sz w:val="20"/>
              </w:rPr>
              <w:t xml:space="preserve">13. </w:t>
            </w:r>
          </w:p>
        </w:tc>
        <w:tc>
          <w:tcPr>
            <w:tcW w:w="7084" w:type="dxa"/>
          </w:tcPr>
          <w:p w:rsidR="001C1661" w:rsidRPr="00DE7719" w:rsidRDefault="001C1661" w:rsidP="001C1661">
            <w:pPr>
              <w:rPr>
                <w:rFonts w:cs="Arial"/>
                <w:b/>
                <w:iCs/>
                <w:sz w:val="20"/>
                <w:szCs w:val="20"/>
              </w:rPr>
            </w:pPr>
            <w:r w:rsidRPr="00DE7719">
              <w:rPr>
                <w:rFonts w:cs="Arial"/>
                <w:b/>
                <w:iCs/>
                <w:sz w:val="20"/>
                <w:szCs w:val="20"/>
              </w:rPr>
              <w:t>Any Other Business for Consideration</w:t>
            </w:r>
          </w:p>
        </w:tc>
        <w:tc>
          <w:tcPr>
            <w:tcW w:w="850" w:type="dxa"/>
          </w:tcPr>
          <w:p w:rsidR="001C1661" w:rsidRPr="00DE7719" w:rsidRDefault="001C1661" w:rsidP="001C1661">
            <w:pPr>
              <w:pStyle w:val="textregular"/>
              <w:ind w:left="17"/>
              <w:rPr>
                <w:rFonts w:cs="Arial"/>
                <w:noProof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C1661" w:rsidRPr="00DE7719" w:rsidRDefault="001C1661" w:rsidP="001C1661">
            <w:pPr>
              <w:pStyle w:val="textregular"/>
              <w:ind w:left="17"/>
              <w:rPr>
                <w:rFonts w:cs="Arial"/>
                <w:noProof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1C1661" w:rsidRPr="00D33CCF" w:rsidRDefault="001C1661" w:rsidP="001C1661">
            <w:pPr>
              <w:pStyle w:val="textregular"/>
              <w:ind w:left="17"/>
              <w:rPr>
                <w:rFonts w:cs="Arial"/>
                <w:noProof w:val="0"/>
                <w:sz w:val="18"/>
                <w:szCs w:val="18"/>
              </w:rPr>
            </w:pPr>
          </w:p>
        </w:tc>
      </w:tr>
      <w:tr w:rsidR="001C1661" w:rsidRPr="00D33CCF" w:rsidTr="00FB75E2">
        <w:tc>
          <w:tcPr>
            <w:tcW w:w="708" w:type="dxa"/>
          </w:tcPr>
          <w:p w:rsidR="001C1661" w:rsidRPr="00DE7719" w:rsidRDefault="001C1661" w:rsidP="001C1661">
            <w:pPr>
              <w:pStyle w:val="textregular"/>
              <w:jc w:val="center"/>
              <w:rPr>
                <w:rFonts w:cs="Arial"/>
                <w:b/>
                <w:noProof w:val="0"/>
                <w:sz w:val="20"/>
              </w:rPr>
            </w:pPr>
            <w:r>
              <w:rPr>
                <w:rFonts w:cs="Arial"/>
                <w:b/>
                <w:noProof w:val="0"/>
                <w:sz w:val="20"/>
              </w:rPr>
              <w:t>14.</w:t>
            </w:r>
          </w:p>
        </w:tc>
        <w:tc>
          <w:tcPr>
            <w:tcW w:w="7084" w:type="dxa"/>
          </w:tcPr>
          <w:p w:rsidR="001C1661" w:rsidRPr="00DE7719" w:rsidRDefault="001C1661" w:rsidP="001C1661">
            <w:pPr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</w:pPr>
            <w:r w:rsidRPr="00DE7719"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  <w:t>Self-Reflection</w:t>
            </w:r>
            <w:r w:rsidRPr="00DE7719">
              <w:rPr>
                <w:rFonts w:cs="Arial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1C1661" w:rsidRPr="00FB75E2" w:rsidRDefault="001C1661" w:rsidP="001C1661">
            <w:pPr>
              <w:pStyle w:val="ListParagraph"/>
              <w:ind w:left="360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C1661" w:rsidRPr="00DE7719" w:rsidRDefault="001C1661" w:rsidP="001C1661">
            <w:pPr>
              <w:pStyle w:val="textregular"/>
              <w:ind w:left="17"/>
              <w:rPr>
                <w:rFonts w:cs="Arial"/>
                <w:noProof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C1661" w:rsidRPr="00DE7719" w:rsidRDefault="001C1661" w:rsidP="001C1661">
            <w:pPr>
              <w:pStyle w:val="textregular"/>
              <w:ind w:left="17"/>
              <w:rPr>
                <w:rFonts w:cs="Arial"/>
                <w:noProof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1C1661" w:rsidRPr="00D33CCF" w:rsidRDefault="001C1661" w:rsidP="001C1661">
            <w:pPr>
              <w:pStyle w:val="textregular"/>
              <w:ind w:left="17"/>
              <w:rPr>
                <w:rFonts w:cs="Arial"/>
                <w:noProof w:val="0"/>
                <w:sz w:val="18"/>
                <w:szCs w:val="18"/>
              </w:rPr>
            </w:pPr>
          </w:p>
        </w:tc>
      </w:tr>
      <w:tr w:rsidR="001C1661" w:rsidRPr="00D33CCF" w:rsidTr="00FB75E2">
        <w:tc>
          <w:tcPr>
            <w:tcW w:w="708" w:type="dxa"/>
          </w:tcPr>
          <w:p w:rsidR="001C1661" w:rsidRDefault="001C1661" w:rsidP="001C1661">
            <w:pPr>
              <w:pStyle w:val="textregular"/>
              <w:jc w:val="center"/>
              <w:rPr>
                <w:rFonts w:cs="Arial"/>
                <w:b/>
                <w:noProof w:val="0"/>
                <w:sz w:val="20"/>
              </w:rPr>
            </w:pPr>
          </w:p>
        </w:tc>
        <w:tc>
          <w:tcPr>
            <w:tcW w:w="7084" w:type="dxa"/>
          </w:tcPr>
          <w:p w:rsidR="001C1661" w:rsidRPr="003F6D67" w:rsidRDefault="001C1661" w:rsidP="001C1661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PART 2: Confidential</w:t>
            </w:r>
          </w:p>
          <w:p w:rsidR="001C1661" w:rsidRPr="00DE7719" w:rsidRDefault="001C1661" w:rsidP="001C1661">
            <w:pPr>
              <w:rPr>
                <w:rFonts w:cs="Arial"/>
                <w:b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C1661" w:rsidRPr="00DE7719" w:rsidRDefault="001C1661" w:rsidP="001C1661">
            <w:pPr>
              <w:pStyle w:val="textregular"/>
              <w:ind w:left="17"/>
              <w:rPr>
                <w:rFonts w:cs="Arial"/>
                <w:noProof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1C1661" w:rsidRPr="00DE7719" w:rsidRDefault="001C1661" w:rsidP="001C1661">
            <w:pPr>
              <w:pStyle w:val="textregular"/>
              <w:ind w:left="17"/>
              <w:rPr>
                <w:rFonts w:cs="Arial"/>
                <w:noProof w:val="0"/>
                <w:sz w:val="16"/>
                <w:szCs w:val="16"/>
              </w:rPr>
            </w:pPr>
          </w:p>
        </w:tc>
        <w:tc>
          <w:tcPr>
            <w:tcW w:w="708" w:type="dxa"/>
          </w:tcPr>
          <w:p w:rsidR="001C1661" w:rsidRPr="00D33CCF" w:rsidRDefault="001C1661" w:rsidP="001C1661">
            <w:pPr>
              <w:pStyle w:val="textregular"/>
              <w:ind w:left="17"/>
              <w:rPr>
                <w:rFonts w:cs="Arial"/>
                <w:noProof w:val="0"/>
                <w:sz w:val="18"/>
                <w:szCs w:val="18"/>
              </w:rPr>
            </w:pPr>
          </w:p>
        </w:tc>
      </w:tr>
    </w:tbl>
    <w:p w:rsidR="00B8084D" w:rsidRDefault="00B8084D" w:rsidP="00955AA0">
      <w:pPr>
        <w:rPr>
          <w:rFonts w:cs="Arial"/>
          <w:b/>
          <w:bCs/>
          <w:color w:val="000000"/>
          <w:sz w:val="22"/>
          <w:szCs w:val="22"/>
        </w:rPr>
      </w:pPr>
    </w:p>
    <w:p w:rsidR="00B8084D" w:rsidRDefault="00B8084D" w:rsidP="00955AA0">
      <w:pPr>
        <w:rPr>
          <w:rFonts w:cs="Arial"/>
          <w:b/>
          <w:bCs/>
          <w:color w:val="000000"/>
          <w:sz w:val="22"/>
          <w:szCs w:val="22"/>
        </w:rPr>
      </w:pPr>
    </w:p>
    <w:p w:rsidR="00FB75E2" w:rsidRDefault="00FB75E2" w:rsidP="00955AA0">
      <w:pPr>
        <w:rPr>
          <w:rFonts w:cs="Arial"/>
          <w:b/>
          <w:bCs/>
          <w:color w:val="000000"/>
          <w:sz w:val="22"/>
          <w:szCs w:val="22"/>
        </w:rPr>
      </w:pPr>
    </w:p>
    <w:p w:rsidR="00FB75E2" w:rsidRDefault="00FB75E2" w:rsidP="00955AA0">
      <w:pPr>
        <w:rPr>
          <w:rFonts w:cs="Arial"/>
          <w:b/>
          <w:bCs/>
          <w:color w:val="000000"/>
          <w:sz w:val="22"/>
          <w:szCs w:val="22"/>
        </w:rPr>
      </w:pPr>
    </w:p>
    <w:p w:rsidR="001C1661" w:rsidRDefault="001C1661" w:rsidP="00955AA0">
      <w:pPr>
        <w:rPr>
          <w:rFonts w:cs="Arial"/>
          <w:b/>
          <w:bCs/>
          <w:color w:val="000000"/>
          <w:sz w:val="22"/>
          <w:szCs w:val="22"/>
        </w:rPr>
      </w:pPr>
    </w:p>
    <w:p w:rsidR="001C1661" w:rsidRDefault="001C1661" w:rsidP="00955AA0">
      <w:pPr>
        <w:rPr>
          <w:rFonts w:cs="Arial"/>
          <w:b/>
          <w:bCs/>
          <w:color w:val="000000"/>
          <w:sz w:val="22"/>
          <w:szCs w:val="22"/>
        </w:rPr>
      </w:pPr>
    </w:p>
    <w:p w:rsidR="001C1661" w:rsidRDefault="001C1661" w:rsidP="00955AA0">
      <w:pPr>
        <w:rPr>
          <w:rFonts w:cs="Arial"/>
          <w:b/>
          <w:bCs/>
          <w:color w:val="000000"/>
          <w:sz w:val="22"/>
          <w:szCs w:val="22"/>
        </w:rPr>
      </w:pPr>
    </w:p>
    <w:p w:rsidR="001C1661" w:rsidRDefault="001C1661" w:rsidP="00955AA0">
      <w:pPr>
        <w:rPr>
          <w:rFonts w:cs="Arial"/>
          <w:b/>
          <w:bCs/>
          <w:color w:val="000000"/>
          <w:sz w:val="22"/>
          <w:szCs w:val="22"/>
        </w:rPr>
      </w:pPr>
    </w:p>
    <w:p w:rsidR="001C1661" w:rsidRDefault="001C1661">
      <w:pPr>
        <w:rPr>
          <w:rFonts w:cs="Arial"/>
          <w:b/>
          <w:bCs/>
          <w:color w:val="000000"/>
          <w:sz w:val="22"/>
          <w:szCs w:val="22"/>
        </w:rPr>
      </w:pPr>
    </w:p>
    <w:p w:rsidR="001C1661" w:rsidRDefault="001C1661">
      <w:pPr>
        <w:rPr>
          <w:rFonts w:cs="Arial"/>
          <w:b/>
          <w:bCs/>
          <w:color w:val="000000"/>
          <w:sz w:val="22"/>
          <w:szCs w:val="22"/>
        </w:rPr>
      </w:pPr>
    </w:p>
    <w:p w:rsidR="001C1661" w:rsidRPr="003F6D67" w:rsidRDefault="001C1661">
      <w:pPr>
        <w:rPr>
          <w:rFonts w:cs="Arial"/>
          <w:b/>
          <w:bCs/>
          <w:color w:val="000000"/>
          <w:sz w:val="22"/>
          <w:szCs w:val="22"/>
        </w:rPr>
      </w:pPr>
    </w:p>
    <w:sectPr w:rsidR="001C1661" w:rsidRPr="003F6D67" w:rsidSect="000925C5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454" w:right="567" w:bottom="454" w:left="567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1C2" w:rsidRDefault="009421C2" w:rsidP="006C3450">
      <w:r>
        <w:separator/>
      </w:r>
    </w:p>
  </w:endnote>
  <w:endnote w:type="continuationSeparator" w:id="0">
    <w:p w:rsidR="009421C2" w:rsidRDefault="009421C2" w:rsidP="006C3450">
      <w:r>
        <w:continuationSeparator/>
      </w:r>
    </w:p>
  </w:endnote>
  <w:endnote w:type="continuationNotice" w:id="1">
    <w:p w:rsidR="009421C2" w:rsidRDefault="009421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78897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E027A" w:rsidRDefault="00292CBC" w:rsidP="00292CBC">
            <w:pPr>
              <w:pStyle w:val="Footer"/>
              <w:jc w:val="center"/>
            </w:pPr>
            <w:r>
              <w:rPr>
                <w:noProof/>
                <w:lang w:val="en-GB" w:eastAsia="en-GB"/>
              </w:rPr>
              <w:drawing>
                <wp:anchor distT="114300" distB="114300" distL="114300" distR="114300" simplePos="0" relativeHeight="251661312" behindDoc="0" locked="0" layoutInCell="1" hidden="0" allowOverlap="1" wp14:anchorId="4930E6D2" wp14:editId="7413E2E6">
                  <wp:simplePos x="0" y="0"/>
                  <wp:positionH relativeFrom="margin">
                    <wp:align>right</wp:align>
                  </wp:positionH>
                  <wp:positionV relativeFrom="paragraph">
                    <wp:posOffset>6350</wp:posOffset>
                  </wp:positionV>
                  <wp:extent cx="1728788" cy="303592"/>
                  <wp:effectExtent l="0" t="0" r="5080" b="1270"/>
                  <wp:wrapSquare wrapText="bothSides" distT="114300" distB="114300" distL="114300" distR="11430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788" cy="3035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114300" distB="114300" distL="114300" distR="114300" simplePos="0" relativeHeight="251663360" behindDoc="0" locked="0" layoutInCell="1" hidden="0" allowOverlap="1" wp14:anchorId="0D6DD885" wp14:editId="4A18264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10160</wp:posOffset>
                  </wp:positionV>
                  <wp:extent cx="2166938" cy="255569"/>
                  <wp:effectExtent l="0" t="0" r="0" b="0"/>
                  <wp:wrapSquare wrapText="bothSides" distT="114300" distB="114300" distL="114300" distR="114300"/>
                  <wp:docPr id="5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938" cy="2555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2E027A">
              <w:t xml:space="preserve">Page </w:t>
            </w:r>
            <w:r w:rsidR="002E027A">
              <w:rPr>
                <w:b/>
                <w:bCs/>
              </w:rPr>
              <w:fldChar w:fldCharType="begin"/>
            </w:r>
            <w:r w:rsidR="002E027A">
              <w:rPr>
                <w:b/>
                <w:bCs/>
              </w:rPr>
              <w:instrText xml:space="preserve"> PAGE </w:instrText>
            </w:r>
            <w:r w:rsidR="002E027A">
              <w:rPr>
                <w:b/>
                <w:bCs/>
              </w:rPr>
              <w:fldChar w:fldCharType="separate"/>
            </w:r>
            <w:r w:rsidR="001C1661">
              <w:rPr>
                <w:b/>
                <w:bCs/>
                <w:noProof/>
              </w:rPr>
              <w:t>3</w:t>
            </w:r>
            <w:r w:rsidR="002E027A">
              <w:rPr>
                <w:b/>
                <w:bCs/>
              </w:rPr>
              <w:fldChar w:fldCharType="end"/>
            </w:r>
            <w:r w:rsidR="002E027A">
              <w:t xml:space="preserve"> of </w:t>
            </w:r>
            <w:r w:rsidR="002E027A">
              <w:rPr>
                <w:b/>
                <w:bCs/>
              </w:rPr>
              <w:fldChar w:fldCharType="begin"/>
            </w:r>
            <w:r w:rsidR="002E027A">
              <w:rPr>
                <w:b/>
                <w:bCs/>
              </w:rPr>
              <w:instrText xml:space="preserve"> NUMPAGES  </w:instrText>
            </w:r>
            <w:r w:rsidR="002E027A">
              <w:rPr>
                <w:b/>
                <w:bCs/>
              </w:rPr>
              <w:fldChar w:fldCharType="separate"/>
            </w:r>
            <w:r w:rsidR="001C1661">
              <w:rPr>
                <w:b/>
                <w:bCs/>
                <w:noProof/>
              </w:rPr>
              <w:t>3</w:t>
            </w:r>
            <w:r w:rsidR="002E027A">
              <w:rPr>
                <w:b/>
                <w:bCs/>
              </w:rPr>
              <w:fldChar w:fldCharType="end"/>
            </w:r>
          </w:p>
        </w:sdtContent>
      </w:sdt>
    </w:sdtContent>
  </w:sdt>
  <w:p w:rsidR="00A3206C" w:rsidRDefault="00A3206C" w:rsidP="00BF5615">
    <w:pPr>
      <w:pStyle w:val="Footer"/>
      <w:ind w:right="1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6C" w:rsidRDefault="00AF2D95" w:rsidP="00BF5615">
    <w:pPr>
      <w:pStyle w:val="Footer"/>
      <w:ind w:left="-601" w:right="-649"/>
    </w:pPr>
    <w:r w:rsidRPr="00AF2D95">
      <w:rPr>
        <w:noProof/>
        <w:lang w:val="en-GB" w:eastAsia="en-GB"/>
      </w:rPr>
      <w:drawing>
        <wp:inline distT="0" distB="0" distL="0" distR="0" wp14:anchorId="39CC8649" wp14:editId="764882FF">
          <wp:extent cx="6467475" cy="571500"/>
          <wp:effectExtent l="0" t="0" r="0" b="0"/>
          <wp:docPr id="4" name="Picture 2" descr="HLT_Letterhea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T_Letterhead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1C2" w:rsidRDefault="009421C2" w:rsidP="006C3450">
      <w:r>
        <w:separator/>
      </w:r>
    </w:p>
  </w:footnote>
  <w:footnote w:type="continuationSeparator" w:id="0">
    <w:p w:rsidR="009421C2" w:rsidRDefault="009421C2" w:rsidP="006C3450">
      <w:r>
        <w:continuationSeparator/>
      </w:r>
    </w:p>
  </w:footnote>
  <w:footnote w:type="continuationNotice" w:id="1">
    <w:p w:rsidR="009421C2" w:rsidRDefault="009421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6C" w:rsidRDefault="00DE7719">
    <w:pPr>
      <w:pStyle w:val="Header"/>
    </w:pPr>
    <w:r>
      <w:rPr>
        <w:noProof/>
        <w:lang w:val="en-GB" w:eastAsia="en-GB"/>
      </w:rPr>
      <w:drawing>
        <wp:anchor distT="114300" distB="114300" distL="114300" distR="114300" simplePos="0" relativeHeight="251659264" behindDoc="0" locked="0" layoutInCell="1" hidden="0" allowOverlap="1" wp14:anchorId="7BC1D5EB" wp14:editId="563895E0">
          <wp:simplePos x="0" y="0"/>
          <wp:positionH relativeFrom="margin">
            <wp:posOffset>-25400</wp:posOffset>
          </wp:positionH>
          <wp:positionV relativeFrom="paragraph">
            <wp:posOffset>-635635</wp:posOffset>
          </wp:positionV>
          <wp:extent cx="1885950" cy="917211"/>
          <wp:effectExtent l="0" t="0" r="0" b="0"/>
          <wp:wrapSquare wrapText="bothSides" distT="114300" distB="11430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5950" cy="9172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41212" w:rsidRDefault="004412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6C" w:rsidRDefault="00AF2D95" w:rsidP="00BF5615">
    <w:pPr>
      <w:pStyle w:val="Header"/>
      <w:ind w:left="-601" w:right="-635"/>
    </w:pPr>
    <w:r w:rsidRPr="00AF2D95">
      <w:rPr>
        <w:noProof/>
        <w:lang w:val="en-GB" w:eastAsia="en-GB"/>
      </w:rPr>
      <w:drawing>
        <wp:inline distT="0" distB="0" distL="0" distR="0" wp14:anchorId="194ACCCE" wp14:editId="659FAD69">
          <wp:extent cx="6600825" cy="828675"/>
          <wp:effectExtent l="0" t="0" r="0" b="0"/>
          <wp:docPr id="3" name="Picture 1" descr="HLT_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T_Letterhead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D15"/>
    <w:multiLevelType w:val="hybridMultilevel"/>
    <w:tmpl w:val="9108833A"/>
    <w:lvl w:ilvl="0" w:tplc="C34E0F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D59FA"/>
    <w:multiLevelType w:val="hybridMultilevel"/>
    <w:tmpl w:val="21FAE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751784"/>
    <w:multiLevelType w:val="hybridMultilevel"/>
    <w:tmpl w:val="8C6200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641F6"/>
    <w:multiLevelType w:val="hybridMultilevel"/>
    <w:tmpl w:val="82462580"/>
    <w:lvl w:ilvl="0" w:tplc="3D402B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193FF0"/>
    <w:multiLevelType w:val="hybridMultilevel"/>
    <w:tmpl w:val="E760E7F0"/>
    <w:lvl w:ilvl="0" w:tplc="3D402B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527E76"/>
    <w:multiLevelType w:val="hybridMultilevel"/>
    <w:tmpl w:val="4F9A2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A6E2D"/>
    <w:multiLevelType w:val="hybridMultilevel"/>
    <w:tmpl w:val="09BCD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67CA8"/>
    <w:multiLevelType w:val="hybridMultilevel"/>
    <w:tmpl w:val="FE64E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2F29A4"/>
    <w:multiLevelType w:val="multilevel"/>
    <w:tmpl w:val="51E06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3E7558"/>
    <w:multiLevelType w:val="hybridMultilevel"/>
    <w:tmpl w:val="F5161888"/>
    <w:lvl w:ilvl="0" w:tplc="F06018F4">
      <w:start w:val="1"/>
      <w:numFmt w:val="decimal"/>
      <w:pStyle w:val="agendasubhead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2DE380B"/>
    <w:multiLevelType w:val="hybridMultilevel"/>
    <w:tmpl w:val="96688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1A09D2"/>
    <w:multiLevelType w:val="hybridMultilevel"/>
    <w:tmpl w:val="DDDA85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327672"/>
    <w:multiLevelType w:val="hybridMultilevel"/>
    <w:tmpl w:val="A25040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904EE4"/>
    <w:multiLevelType w:val="hybridMultilevel"/>
    <w:tmpl w:val="E760E7F0"/>
    <w:lvl w:ilvl="0" w:tplc="3D402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3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  <w:num w:numId="13">
    <w:abstractNumId w:val="12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10"/>
    <w:rsid w:val="00001AE6"/>
    <w:rsid w:val="00002F33"/>
    <w:rsid w:val="00003303"/>
    <w:rsid w:val="00005357"/>
    <w:rsid w:val="00007972"/>
    <w:rsid w:val="00013A15"/>
    <w:rsid w:val="00016D1A"/>
    <w:rsid w:val="00017640"/>
    <w:rsid w:val="00023BCE"/>
    <w:rsid w:val="00024C53"/>
    <w:rsid w:val="000309CC"/>
    <w:rsid w:val="00030F3E"/>
    <w:rsid w:val="00032B11"/>
    <w:rsid w:val="000341DF"/>
    <w:rsid w:val="00037726"/>
    <w:rsid w:val="00042235"/>
    <w:rsid w:val="000428CB"/>
    <w:rsid w:val="00043B97"/>
    <w:rsid w:val="00054A30"/>
    <w:rsid w:val="00060421"/>
    <w:rsid w:val="00065378"/>
    <w:rsid w:val="000729CC"/>
    <w:rsid w:val="00077B33"/>
    <w:rsid w:val="00081D59"/>
    <w:rsid w:val="000925C5"/>
    <w:rsid w:val="0009552C"/>
    <w:rsid w:val="0009566F"/>
    <w:rsid w:val="000966AD"/>
    <w:rsid w:val="00096A10"/>
    <w:rsid w:val="000A03E3"/>
    <w:rsid w:val="000A6849"/>
    <w:rsid w:val="000A7F1F"/>
    <w:rsid w:val="000B45F9"/>
    <w:rsid w:val="000B66D9"/>
    <w:rsid w:val="000B6E4A"/>
    <w:rsid w:val="000B7BA1"/>
    <w:rsid w:val="000C117C"/>
    <w:rsid w:val="000C1D00"/>
    <w:rsid w:val="000C6DD7"/>
    <w:rsid w:val="000E043B"/>
    <w:rsid w:val="000E1233"/>
    <w:rsid w:val="000E3620"/>
    <w:rsid w:val="000E7963"/>
    <w:rsid w:val="000F1332"/>
    <w:rsid w:val="000F5940"/>
    <w:rsid w:val="000F67B3"/>
    <w:rsid w:val="00107040"/>
    <w:rsid w:val="00107165"/>
    <w:rsid w:val="00117E60"/>
    <w:rsid w:val="001205B8"/>
    <w:rsid w:val="0014359B"/>
    <w:rsid w:val="001441EE"/>
    <w:rsid w:val="001475CB"/>
    <w:rsid w:val="0015042C"/>
    <w:rsid w:val="0015512C"/>
    <w:rsid w:val="001554AE"/>
    <w:rsid w:val="00161CC4"/>
    <w:rsid w:val="0016534A"/>
    <w:rsid w:val="001668C3"/>
    <w:rsid w:val="001673A1"/>
    <w:rsid w:val="0017126D"/>
    <w:rsid w:val="00172A6B"/>
    <w:rsid w:val="00181010"/>
    <w:rsid w:val="00181238"/>
    <w:rsid w:val="0018587D"/>
    <w:rsid w:val="001868D9"/>
    <w:rsid w:val="0019308F"/>
    <w:rsid w:val="001971A0"/>
    <w:rsid w:val="00197693"/>
    <w:rsid w:val="001B1A02"/>
    <w:rsid w:val="001B2B47"/>
    <w:rsid w:val="001B56B4"/>
    <w:rsid w:val="001B6F8A"/>
    <w:rsid w:val="001C1661"/>
    <w:rsid w:val="001C1C6C"/>
    <w:rsid w:val="001C7170"/>
    <w:rsid w:val="001D1C60"/>
    <w:rsid w:val="001D2E4A"/>
    <w:rsid w:val="001D3A84"/>
    <w:rsid w:val="001D58B0"/>
    <w:rsid w:val="001F0836"/>
    <w:rsid w:val="002001BD"/>
    <w:rsid w:val="00201B0C"/>
    <w:rsid w:val="002027DF"/>
    <w:rsid w:val="00205583"/>
    <w:rsid w:val="00207448"/>
    <w:rsid w:val="002119B2"/>
    <w:rsid w:val="00231A20"/>
    <w:rsid w:val="00232D70"/>
    <w:rsid w:val="00233DF2"/>
    <w:rsid w:val="0023680F"/>
    <w:rsid w:val="0024057C"/>
    <w:rsid w:val="00241F81"/>
    <w:rsid w:val="00245A5E"/>
    <w:rsid w:val="0025240C"/>
    <w:rsid w:val="00264123"/>
    <w:rsid w:val="00277ADF"/>
    <w:rsid w:val="0028419E"/>
    <w:rsid w:val="0028552C"/>
    <w:rsid w:val="00285AF4"/>
    <w:rsid w:val="00292CBC"/>
    <w:rsid w:val="002930C6"/>
    <w:rsid w:val="00295A43"/>
    <w:rsid w:val="002974B2"/>
    <w:rsid w:val="002A3B96"/>
    <w:rsid w:val="002B21A1"/>
    <w:rsid w:val="002B7476"/>
    <w:rsid w:val="002C29D0"/>
    <w:rsid w:val="002C5FCF"/>
    <w:rsid w:val="002D31ED"/>
    <w:rsid w:val="002E027A"/>
    <w:rsid w:val="002E1757"/>
    <w:rsid w:val="002F2911"/>
    <w:rsid w:val="002F42F9"/>
    <w:rsid w:val="002F43F9"/>
    <w:rsid w:val="002F7401"/>
    <w:rsid w:val="00306B3A"/>
    <w:rsid w:val="00310BF3"/>
    <w:rsid w:val="00312FE5"/>
    <w:rsid w:val="00313E2C"/>
    <w:rsid w:val="003171B0"/>
    <w:rsid w:val="00327B54"/>
    <w:rsid w:val="00336243"/>
    <w:rsid w:val="00346C23"/>
    <w:rsid w:val="00347E25"/>
    <w:rsid w:val="00351618"/>
    <w:rsid w:val="00373405"/>
    <w:rsid w:val="00377C6B"/>
    <w:rsid w:val="00377CFF"/>
    <w:rsid w:val="0038453E"/>
    <w:rsid w:val="00384F30"/>
    <w:rsid w:val="00391AFD"/>
    <w:rsid w:val="0039734D"/>
    <w:rsid w:val="003A2D16"/>
    <w:rsid w:val="003A4889"/>
    <w:rsid w:val="003B303D"/>
    <w:rsid w:val="003C52D8"/>
    <w:rsid w:val="003D0212"/>
    <w:rsid w:val="003D2D53"/>
    <w:rsid w:val="003E1E27"/>
    <w:rsid w:val="003E2A8E"/>
    <w:rsid w:val="003E5028"/>
    <w:rsid w:val="003E5764"/>
    <w:rsid w:val="003E7CBB"/>
    <w:rsid w:val="003E7D6B"/>
    <w:rsid w:val="003F2A7C"/>
    <w:rsid w:val="003F6D67"/>
    <w:rsid w:val="003F758B"/>
    <w:rsid w:val="0040423C"/>
    <w:rsid w:val="00406611"/>
    <w:rsid w:val="00416407"/>
    <w:rsid w:val="00422746"/>
    <w:rsid w:val="00425EC2"/>
    <w:rsid w:val="00441212"/>
    <w:rsid w:val="004473F5"/>
    <w:rsid w:val="00450001"/>
    <w:rsid w:val="00450941"/>
    <w:rsid w:val="00453DCB"/>
    <w:rsid w:val="00453FEA"/>
    <w:rsid w:val="00454314"/>
    <w:rsid w:val="00457F80"/>
    <w:rsid w:val="00470A38"/>
    <w:rsid w:val="00472173"/>
    <w:rsid w:val="004822FE"/>
    <w:rsid w:val="00483982"/>
    <w:rsid w:val="00485ACE"/>
    <w:rsid w:val="00487130"/>
    <w:rsid w:val="004A11CE"/>
    <w:rsid w:val="004A23A5"/>
    <w:rsid w:val="004A6129"/>
    <w:rsid w:val="004B210F"/>
    <w:rsid w:val="004C1E9F"/>
    <w:rsid w:val="004C2448"/>
    <w:rsid w:val="004C6420"/>
    <w:rsid w:val="004C71B3"/>
    <w:rsid w:val="004D10E9"/>
    <w:rsid w:val="004D20C7"/>
    <w:rsid w:val="004E2552"/>
    <w:rsid w:val="004E487B"/>
    <w:rsid w:val="004E6C6C"/>
    <w:rsid w:val="004E6F00"/>
    <w:rsid w:val="004F0C6B"/>
    <w:rsid w:val="004F7E37"/>
    <w:rsid w:val="0050133B"/>
    <w:rsid w:val="00504158"/>
    <w:rsid w:val="00504BE9"/>
    <w:rsid w:val="00507E3B"/>
    <w:rsid w:val="0051159E"/>
    <w:rsid w:val="00511C31"/>
    <w:rsid w:val="00531C4D"/>
    <w:rsid w:val="005374F8"/>
    <w:rsid w:val="00544681"/>
    <w:rsid w:val="00545A68"/>
    <w:rsid w:val="00545DD2"/>
    <w:rsid w:val="00545E26"/>
    <w:rsid w:val="00547B25"/>
    <w:rsid w:val="00552CD0"/>
    <w:rsid w:val="00560165"/>
    <w:rsid w:val="00582648"/>
    <w:rsid w:val="0058275A"/>
    <w:rsid w:val="005857B7"/>
    <w:rsid w:val="00586F90"/>
    <w:rsid w:val="00590CC8"/>
    <w:rsid w:val="00590D6B"/>
    <w:rsid w:val="005A0E4C"/>
    <w:rsid w:val="005A5440"/>
    <w:rsid w:val="005A7356"/>
    <w:rsid w:val="005A74B8"/>
    <w:rsid w:val="005B237A"/>
    <w:rsid w:val="005D1F77"/>
    <w:rsid w:val="005D2506"/>
    <w:rsid w:val="005D75D7"/>
    <w:rsid w:val="005E15AF"/>
    <w:rsid w:val="005E23A8"/>
    <w:rsid w:val="005E4B32"/>
    <w:rsid w:val="005F2A14"/>
    <w:rsid w:val="005F699E"/>
    <w:rsid w:val="00604187"/>
    <w:rsid w:val="00604E6E"/>
    <w:rsid w:val="00614B8B"/>
    <w:rsid w:val="00620171"/>
    <w:rsid w:val="0063699C"/>
    <w:rsid w:val="006420AD"/>
    <w:rsid w:val="006426F9"/>
    <w:rsid w:val="00647767"/>
    <w:rsid w:val="00660F1F"/>
    <w:rsid w:val="00670182"/>
    <w:rsid w:val="006742F1"/>
    <w:rsid w:val="00680169"/>
    <w:rsid w:val="0068037D"/>
    <w:rsid w:val="006817E4"/>
    <w:rsid w:val="00681E62"/>
    <w:rsid w:val="0068276E"/>
    <w:rsid w:val="006844BE"/>
    <w:rsid w:val="006847AC"/>
    <w:rsid w:val="006868E5"/>
    <w:rsid w:val="00687A23"/>
    <w:rsid w:val="0069151D"/>
    <w:rsid w:val="0069335D"/>
    <w:rsid w:val="006B4EDC"/>
    <w:rsid w:val="006C0110"/>
    <w:rsid w:val="006C3450"/>
    <w:rsid w:val="006C47AA"/>
    <w:rsid w:val="006E6466"/>
    <w:rsid w:val="006E66A9"/>
    <w:rsid w:val="006F06E1"/>
    <w:rsid w:val="006F5376"/>
    <w:rsid w:val="0070111C"/>
    <w:rsid w:val="00703399"/>
    <w:rsid w:val="0070368A"/>
    <w:rsid w:val="00705718"/>
    <w:rsid w:val="0072510D"/>
    <w:rsid w:val="00741C88"/>
    <w:rsid w:val="00742E07"/>
    <w:rsid w:val="0075039A"/>
    <w:rsid w:val="007525A6"/>
    <w:rsid w:val="00761B9A"/>
    <w:rsid w:val="007634D0"/>
    <w:rsid w:val="007655BB"/>
    <w:rsid w:val="00775F7D"/>
    <w:rsid w:val="00776390"/>
    <w:rsid w:val="00780513"/>
    <w:rsid w:val="00783522"/>
    <w:rsid w:val="0078380E"/>
    <w:rsid w:val="00790600"/>
    <w:rsid w:val="00795278"/>
    <w:rsid w:val="007A5A5A"/>
    <w:rsid w:val="007B079E"/>
    <w:rsid w:val="007B1DD6"/>
    <w:rsid w:val="007B639D"/>
    <w:rsid w:val="007C41BE"/>
    <w:rsid w:val="007C5009"/>
    <w:rsid w:val="007C5939"/>
    <w:rsid w:val="007E06D6"/>
    <w:rsid w:val="007E128C"/>
    <w:rsid w:val="007E2F20"/>
    <w:rsid w:val="007E3275"/>
    <w:rsid w:val="007E622F"/>
    <w:rsid w:val="007F1349"/>
    <w:rsid w:val="007F4AD1"/>
    <w:rsid w:val="00841008"/>
    <w:rsid w:val="00842367"/>
    <w:rsid w:val="00844835"/>
    <w:rsid w:val="00852E39"/>
    <w:rsid w:val="00854526"/>
    <w:rsid w:val="00856367"/>
    <w:rsid w:val="00857D2C"/>
    <w:rsid w:val="008604F4"/>
    <w:rsid w:val="00862A43"/>
    <w:rsid w:val="00863F12"/>
    <w:rsid w:val="008708D3"/>
    <w:rsid w:val="00870AAE"/>
    <w:rsid w:val="00870CBE"/>
    <w:rsid w:val="008730FF"/>
    <w:rsid w:val="00877834"/>
    <w:rsid w:val="00877FAC"/>
    <w:rsid w:val="00890DE6"/>
    <w:rsid w:val="0089115C"/>
    <w:rsid w:val="00894236"/>
    <w:rsid w:val="008A449F"/>
    <w:rsid w:val="008B49CB"/>
    <w:rsid w:val="008B5586"/>
    <w:rsid w:val="008B65B1"/>
    <w:rsid w:val="008B6F01"/>
    <w:rsid w:val="008C06E9"/>
    <w:rsid w:val="008C3B1D"/>
    <w:rsid w:val="008C3BE0"/>
    <w:rsid w:val="008E3B85"/>
    <w:rsid w:val="008E43C0"/>
    <w:rsid w:val="008F0BBF"/>
    <w:rsid w:val="008F54D4"/>
    <w:rsid w:val="008F5F86"/>
    <w:rsid w:val="008F6746"/>
    <w:rsid w:val="008F78C2"/>
    <w:rsid w:val="00905C58"/>
    <w:rsid w:val="00906FDC"/>
    <w:rsid w:val="0092541B"/>
    <w:rsid w:val="0092552E"/>
    <w:rsid w:val="00930C11"/>
    <w:rsid w:val="00931A1D"/>
    <w:rsid w:val="00932170"/>
    <w:rsid w:val="009342FA"/>
    <w:rsid w:val="009421C2"/>
    <w:rsid w:val="00947712"/>
    <w:rsid w:val="00950312"/>
    <w:rsid w:val="0095481B"/>
    <w:rsid w:val="00954F2D"/>
    <w:rsid w:val="00955AA0"/>
    <w:rsid w:val="009609DB"/>
    <w:rsid w:val="009612BC"/>
    <w:rsid w:val="00964A89"/>
    <w:rsid w:val="009663F1"/>
    <w:rsid w:val="00971968"/>
    <w:rsid w:val="00974889"/>
    <w:rsid w:val="00975450"/>
    <w:rsid w:val="009756B1"/>
    <w:rsid w:val="00982155"/>
    <w:rsid w:val="0098469A"/>
    <w:rsid w:val="009854EF"/>
    <w:rsid w:val="009911B1"/>
    <w:rsid w:val="00992848"/>
    <w:rsid w:val="0099751C"/>
    <w:rsid w:val="009C164F"/>
    <w:rsid w:val="009C1895"/>
    <w:rsid w:val="009C2FDB"/>
    <w:rsid w:val="009C31B0"/>
    <w:rsid w:val="009E1F67"/>
    <w:rsid w:val="009E705F"/>
    <w:rsid w:val="009F3C31"/>
    <w:rsid w:val="009F70D6"/>
    <w:rsid w:val="009F7DDB"/>
    <w:rsid w:val="00A0727F"/>
    <w:rsid w:val="00A13F43"/>
    <w:rsid w:val="00A230D5"/>
    <w:rsid w:val="00A3206C"/>
    <w:rsid w:val="00A42060"/>
    <w:rsid w:val="00A575D3"/>
    <w:rsid w:val="00A65957"/>
    <w:rsid w:val="00A82760"/>
    <w:rsid w:val="00A8681F"/>
    <w:rsid w:val="00A92925"/>
    <w:rsid w:val="00A93F95"/>
    <w:rsid w:val="00A94D63"/>
    <w:rsid w:val="00A96A2A"/>
    <w:rsid w:val="00AA1164"/>
    <w:rsid w:val="00AA1AB4"/>
    <w:rsid w:val="00AB1F88"/>
    <w:rsid w:val="00AC0CD7"/>
    <w:rsid w:val="00AC3D31"/>
    <w:rsid w:val="00AD74DB"/>
    <w:rsid w:val="00AE170F"/>
    <w:rsid w:val="00AE280E"/>
    <w:rsid w:val="00AE59D0"/>
    <w:rsid w:val="00AF2D95"/>
    <w:rsid w:val="00AF38A7"/>
    <w:rsid w:val="00AF70C0"/>
    <w:rsid w:val="00B10641"/>
    <w:rsid w:val="00B23951"/>
    <w:rsid w:val="00B24D03"/>
    <w:rsid w:val="00B32C74"/>
    <w:rsid w:val="00B361C9"/>
    <w:rsid w:val="00B367A6"/>
    <w:rsid w:val="00B42885"/>
    <w:rsid w:val="00B42BD9"/>
    <w:rsid w:val="00B448C9"/>
    <w:rsid w:val="00B51CBE"/>
    <w:rsid w:val="00B56274"/>
    <w:rsid w:val="00B60521"/>
    <w:rsid w:val="00B61F2E"/>
    <w:rsid w:val="00B6233E"/>
    <w:rsid w:val="00B6280D"/>
    <w:rsid w:val="00B62EEE"/>
    <w:rsid w:val="00B63B9C"/>
    <w:rsid w:val="00B64060"/>
    <w:rsid w:val="00B71631"/>
    <w:rsid w:val="00B739CE"/>
    <w:rsid w:val="00B8084D"/>
    <w:rsid w:val="00B961F5"/>
    <w:rsid w:val="00B967DC"/>
    <w:rsid w:val="00B96929"/>
    <w:rsid w:val="00BB0B40"/>
    <w:rsid w:val="00BB467F"/>
    <w:rsid w:val="00BC50BB"/>
    <w:rsid w:val="00BC5F81"/>
    <w:rsid w:val="00BC6F47"/>
    <w:rsid w:val="00BD02AC"/>
    <w:rsid w:val="00BD047F"/>
    <w:rsid w:val="00BD2705"/>
    <w:rsid w:val="00BD7E75"/>
    <w:rsid w:val="00BE4B95"/>
    <w:rsid w:val="00BF1A16"/>
    <w:rsid w:val="00BF2A09"/>
    <w:rsid w:val="00BF4CF0"/>
    <w:rsid w:val="00BF5615"/>
    <w:rsid w:val="00BF5A5D"/>
    <w:rsid w:val="00C101D9"/>
    <w:rsid w:val="00C20B3E"/>
    <w:rsid w:val="00C21C75"/>
    <w:rsid w:val="00C22E1A"/>
    <w:rsid w:val="00C23043"/>
    <w:rsid w:val="00C25324"/>
    <w:rsid w:val="00C27C37"/>
    <w:rsid w:val="00C367BC"/>
    <w:rsid w:val="00C4471A"/>
    <w:rsid w:val="00C4532E"/>
    <w:rsid w:val="00C47AF3"/>
    <w:rsid w:val="00C502A2"/>
    <w:rsid w:val="00C53F12"/>
    <w:rsid w:val="00C63DBD"/>
    <w:rsid w:val="00C65853"/>
    <w:rsid w:val="00C65EE2"/>
    <w:rsid w:val="00C81D56"/>
    <w:rsid w:val="00C82004"/>
    <w:rsid w:val="00C85D4B"/>
    <w:rsid w:val="00C85D7F"/>
    <w:rsid w:val="00C93027"/>
    <w:rsid w:val="00C93EF8"/>
    <w:rsid w:val="00CA1744"/>
    <w:rsid w:val="00CA49B6"/>
    <w:rsid w:val="00CA4E49"/>
    <w:rsid w:val="00CA5993"/>
    <w:rsid w:val="00CB033A"/>
    <w:rsid w:val="00CB3290"/>
    <w:rsid w:val="00CB6DFB"/>
    <w:rsid w:val="00CB79A4"/>
    <w:rsid w:val="00CB79E3"/>
    <w:rsid w:val="00CC300A"/>
    <w:rsid w:val="00CC4197"/>
    <w:rsid w:val="00CC7881"/>
    <w:rsid w:val="00CD0CA0"/>
    <w:rsid w:val="00CE2F61"/>
    <w:rsid w:val="00D02FC1"/>
    <w:rsid w:val="00D0508D"/>
    <w:rsid w:val="00D05DFE"/>
    <w:rsid w:val="00D12A95"/>
    <w:rsid w:val="00D12BFB"/>
    <w:rsid w:val="00D234F6"/>
    <w:rsid w:val="00D265D3"/>
    <w:rsid w:val="00D335BD"/>
    <w:rsid w:val="00D33CCF"/>
    <w:rsid w:val="00D34186"/>
    <w:rsid w:val="00D373FC"/>
    <w:rsid w:val="00D40A74"/>
    <w:rsid w:val="00D422C3"/>
    <w:rsid w:val="00D5292A"/>
    <w:rsid w:val="00D559D5"/>
    <w:rsid w:val="00D648EF"/>
    <w:rsid w:val="00D662C2"/>
    <w:rsid w:val="00D7028B"/>
    <w:rsid w:val="00D7148A"/>
    <w:rsid w:val="00D75064"/>
    <w:rsid w:val="00D85D2E"/>
    <w:rsid w:val="00D868C7"/>
    <w:rsid w:val="00D90030"/>
    <w:rsid w:val="00D9039A"/>
    <w:rsid w:val="00D91A60"/>
    <w:rsid w:val="00DA0725"/>
    <w:rsid w:val="00DA3F29"/>
    <w:rsid w:val="00DB1389"/>
    <w:rsid w:val="00DB3784"/>
    <w:rsid w:val="00DC2586"/>
    <w:rsid w:val="00DC2D62"/>
    <w:rsid w:val="00DD6236"/>
    <w:rsid w:val="00DE2F7B"/>
    <w:rsid w:val="00DE6ADD"/>
    <w:rsid w:val="00DE7719"/>
    <w:rsid w:val="00DF1177"/>
    <w:rsid w:val="00DF395C"/>
    <w:rsid w:val="00E00545"/>
    <w:rsid w:val="00E0351B"/>
    <w:rsid w:val="00E11BA5"/>
    <w:rsid w:val="00E1344C"/>
    <w:rsid w:val="00E138FB"/>
    <w:rsid w:val="00E158A7"/>
    <w:rsid w:val="00E17194"/>
    <w:rsid w:val="00E20F23"/>
    <w:rsid w:val="00E253B7"/>
    <w:rsid w:val="00E41124"/>
    <w:rsid w:val="00E42857"/>
    <w:rsid w:val="00E450D3"/>
    <w:rsid w:val="00E46013"/>
    <w:rsid w:val="00E466AB"/>
    <w:rsid w:val="00E47716"/>
    <w:rsid w:val="00E52AE7"/>
    <w:rsid w:val="00E54391"/>
    <w:rsid w:val="00E656E9"/>
    <w:rsid w:val="00E8073F"/>
    <w:rsid w:val="00E817D1"/>
    <w:rsid w:val="00E82587"/>
    <w:rsid w:val="00E835B4"/>
    <w:rsid w:val="00E83CF7"/>
    <w:rsid w:val="00E8635D"/>
    <w:rsid w:val="00E878BB"/>
    <w:rsid w:val="00E90037"/>
    <w:rsid w:val="00E90A19"/>
    <w:rsid w:val="00E91234"/>
    <w:rsid w:val="00E92BBE"/>
    <w:rsid w:val="00E93F7B"/>
    <w:rsid w:val="00E94AAD"/>
    <w:rsid w:val="00E95DA9"/>
    <w:rsid w:val="00EA018E"/>
    <w:rsid w:val="00EA6A55"/>
    <w:rsid w:val="00EB06DA"/>
    <w:rsid w:val="00EB311C"/>
    <w:rsid w:val="00EB4E85"/>
    <w:rsid w:val="00EB6031"/>
    <w:rsid w:val="00EC0354"/>
    <w:rsid w:val="00EC29F2"/>
    <w:rsid w:val="00EC559D"/>
    <w:rsid w:val="00ED12E9"/>
    <w:rsid w:val="00ED164A"/>
    <w:rsid w:val="00ED3CFA"/>
    <w:rsid w:val="00EE56E5"/>
    <w:rsid w:val="00EE6857"/>
    <w:rsid w:val="00EF10E6"/>
    <w:rsid w:val="00EF1CF2"/>
    <w:rsid w:val="00F029CC"/>
    <w:rsid w:val="00F03011"/>
    <w:rsid w:val="00F03590"/>
    <w:rsid w:val="00F159A7"/>
    <w:rsid w:val="00F17093"/>
    <w:rsid w:val="00F201B2"/>
    <w:rsid w:val="00F25273"/>
    <w:rsid w:val="00F374C5"/>
    <w:rsid w:val="00F4186B"/>
    <w:rsid w:val="00F4228A"/>
    <w:rsid w:val="00F4680B"/>
    <w:rsid w:val="00F47F46"/>
    <w:rsid w:val="00F57DB5"/>
    <w:rsid w:val="00F62121"/>
    <w:rsid w:val="00F63FA5"/>
    <w:rsid w:val="00F64E18"/>
    <w:rsid w:val="00F672A5"/>
    <w:rsid w:val="00F75F61"/>
    <w:rsid w:val="00F761ED"/>
    <w:rsid w:val="00F878E1"/>
    <w:rsid w:val="00F90269"/>
    <w:rsid w:val="00F95A63"/>
    <w:rsid w:val="00F96941"/>
    <w:rsid w:val="00FA05FB"/>
    <w:rsid w:val="00FA45DF"/>
    <w:rsid w:val="00FA4C0A"/>
    <w:rsid w:val="00FA67F4"/>
    <w:rsid w:val="00FA7213"/>
    <w:rsid w:val="00FB09A7"/>
    <w:rsid w:val="00FB2CFA"/>
    <w:rsid w:val="00FB3FD1"/>
    <w:rsid w:val="00FB5AAD"/>
    <w:rsid w:val="00FB75E2"/>
    <w:rsid w:val="00FC09A8"/>
    <w:rsid w:val="00FD0CF1"/>
    <w:rsid w:val="00FE1A32"/>
    <w:rsid w:val="00FE3EC6"/>
    <w:rsid w:val="00FE444D"/>
    <w:rsid w:val="00FE64E1"/>
    <w:rsid w:val="00FE6DB9"/>
    <w:rsid w:val="00FE6EFE"/>
    <w:rsid w:val="00FE70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C1A1B8B4-7A94-48DC-805D-BC6D707F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b/>
      <w:bCs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b/>
      <w:bCs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rsid w:val="00FB09A7"/>
    <w:pPr>
      <w:keepNext/>
      <w:keepLines/>
      <w:spacing w:before="200"/>
      <w:outlineLvl w:val="2"/>
    </w:pPr>
    <w:rPr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hAnsi="Arial" w:cs="Times New Roman"/>
      <w:b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 w:cs="Times New Roman"/>
      <w:b/>
      <w:sz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B09A7"/>
    <w:rPr>
      <w:rFonts w:ascii="Arial" w:hAnsi="Arial" w:cs="Times New Roman"/>
      <w:b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customStyle="1" w:styleId="letterheading">
    <w:name w:val="letter heading"/>
    <w:basedOn w:val="Heading1"/>
    <w:next w:val="Normal"/>
    <w:pPr>
      <w:keepLines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 Black" w:hAnsi="Arial Black"/>
      <w:b w:val="0"/>
      <w:bCs w:val="0"/>
      <w:kern w:val="32"/>
      <w:sz w:val="21"/>
      <w:szCs w:val="20"/>
    </w:rPr>
  </w:style>
  <w:style w:type="paragraph" w:customStyle="1" w:styleId="agendasubheader">
    <w:name w:val="agenda subheader"/>
    <w:basedOn w:val="Normal"/>
    <w:pPr>
      <w:numPr>
        <w:numId w:val="1"/>
      </w:numPr>
      <w:tabs>
        <w:tab w:val="center" w:pos="0"/>
        <w:tab w:val="num" w:pos="720"/>
      </w:tabs>
      <w:spacing w:before="240" w:after="240"/>
      <w:ind w:left="714" w:hanging="357"/>
    </w:pPr>
    <w:rPr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0F67B3"/>
    <w:rPr>
      <w:rFonts w:ascii="Tahoma" w:hAnsi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F67B3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39"/>
    <w:rsid w:val="00BF561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615"/>
    <w:pPr>
      <w:ind w:left="720"/>
      <w:contextualSpacing/>
    </w:pPr>
  </w:style>
  <w:style w:type="paragraph" w:customStyle="1" w:styleId="CM14">
    <w:name w:val="CM14"/>
    <w:basedOn w:val="Normal"/>
    <w:next w:val="Normal"/>
    <w:uiPriority w:val="99"/>
    <w:rsid w:val="00CC7881"/>
    <w:pPr>
      <w:autoSpaceDE w:val="0"/>
      <w:autoSpaceDN w:val="0"/>
      <w:adjustRightInd w:val="0"/>
    </w:pPr>
    <w:rPr>
      <w:rFonts w:cs="Arial"/>
      <w:lang w:val="en-GB" w:eastAsia="en-GB"/>
    </w:rPr>
  </w:style>
  <w:style w:type="paragraph" w:customStyle="1" w:styleId="textregular">
    <w:name w:val="text regular"/>
    <w:basedOn w:val="Normal"/>
    <w:rsid w:val="00931A1D"/>
    <w:rPr>
      <w:noProof/>
      <w:sz w:val="21"/>
      <w:szCs w:val="20"/>
      <w:lang w:val="en-GB"/>
    </w:rPr>
  </w:style>
  <w:style w:type="character" w:styleId="Hyperlink">
    <w:name w:val="Hyperlink"/>
    <w:basedOn w:val="DefaultParagraphFont"/>
    <w:uiPriority w:val="99"/>
    <w:rsid w:val="005A735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1AE6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customStyle="1" w:styleId="Standard">
    <w:name w:val="Standard"/>
    <w:rsid w:val="003F6D67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paragraph">
    <w:name w:val="paragraph"/>
    <w:basedOn w:val="Normal"/>
    <w:uiPriority w:val="99"/>
    <w:rsid w:val="006F06E1"/>
    <w:pPr>
      <w:spacing w:before="100" w:beforeAutospacing="1" w:after="100" w:afterAutospacing="1"/>
    </w:pPr>
    <w:rPr>
      <w:rFonts w:ascii="Times New Roman" w:eastAsiaTheme="minorHAnsi" w:hAnsi="Times New Roman"/>
      <w:lang w:val="en-GB" w:eastAsia="en-GB"/>
    </w:rPr>
  </w:style>
  <w:style w:type="paragraph" w:customStyle="1" w:styleId="xmsolistparagraph">
    <w:name w:val="x_msolistparagraph"/>
    <w:basedOn w:val="Normal"/>
    <w:uiPriority w:val="99"/>
    <w:semiHidden/>
    <w:rsid w:val="00024C53"/>
    <w:rPr>
      <w:rFonts w:ascii="Times New Roman" w:eastAsiaTheme="minorHAnsi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hackneyservicesforschools.co.uk/sites/default/files/document/Schools%205th%20Jan%202021%20-%20Covid%2019%20Variant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ackneyservicesforschools.co.uk/system/files/extranet/Governance%20Roadmap%202020_21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gov.uk/guidance/get-help-with-technology-for-remote-education-during-coronavirus-covid-1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D85E99A4A844E8B0C25C50E3E2688" ma:contentTypeVersion="0" ma:contentTypeDescription="Create a new document." ma:contentTypeScope="" ma:versionID="c895f3bc348f80505120dfa28a91ace4">
  <xsd:schema xmlns:xsd="http://www.w3.org/2001/XMLSchema" xmlns:p="http://schemas.microsoft.com/office/2006/metadata/properties" targetNamespace="http://schemas.microsoft.com/office/2006/metadata/properties" ma:root="true" ma:fieldsID="25c87c3f3e5153c535d5b2b0cbba04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new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EF15F-E5AC-4E41-8498-1AAA393F670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92D1257-6878-4ACE-A758-7460AB1C5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47028F1-D23A-43DB-99A5-D7F5DC641F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520BC7-0E92-425D-B9C7-7D3EA5FDF7E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5923B1-A091-44E2-BE7F-C6C82CE0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Trust</Company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rfayne</dc:creator>
  <cp:keywords/>
  <dc:description/>
  <cp:lastModifiedBy>Madalina Brockmann</cp:lastModifiedBy>
  <cp:revision>3</cp:revision>
  <cp:lastPrinted>2018-09-14T11:38:00Z</cp:lastPrinted>
  <dcterms:created xsi:type="dcterms:W3CDTF">2021-01-15T07:31:00Z</dcterms:created>
  <dcterms:modified xsi:type="dcterms:W3CDTF">2021-01-15T08:15:00Z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0x010100E34D85E99A4A844E8B0C25C50E3E2688</vt:lpwstr>
  </property>
  <property fmtid="{D5CDD505-2E9C-101B-9397-08002B2CF9AE}" pid="3" name="ContentType">
    <vt:lpwstr>Document</vt:lpwstr>
  </property>
</Properties>
</file>